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pacing w:val="-6"/>
          <w:sz w:val="44"/>
          <w:szCs w:val="44"/>
          <w:lang w:eastAsia="zh-CN"/>
        </w:rPr>
        <w:t>仙居县教育局</w:t>
      </w:r>
      <w:r>
        <w:rPr>
          <w:rFonts w:hint="eastAsia" w:ascii="黑体" w:hAnsi="黑体" w:eastAsia="黑体"/>
          <w:spacing w:val="-6"/>
          <w:sz w:val="44"/>
          <w:szCs w:val="44"/>
        </w:rPr>
        <w:t>行政执法统计工作报告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Lines="100" w:line="60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FangSong_GB2312"/>
          <w:sz w:val="32"/>
          <w:szCs w:val="32"/>
        </w:rPr>
        <w:t>行政许可、处罚全年相关数据、同比变化及主要原因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本部门20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lang w:eastAsia="zh-CN"/>
        </w:rPr>
        <w:t>年度行政许可申请总数为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sz w:val="32"/>
          <w:szCs w:val="32"/>
          <w:lang w:eastAsia="zh-CN"/>
        </w:rPr>
        <w:t>宗，予以许可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/>
          <w:sz w:val="32"/>
          <w:szCs w:val="32"/>
          <w:lang w:eastAsia="zh-CN"/>
        </w:rPr>
        <w:t>宗。相比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2019年度，申请总数减少过半，总体数量变化较大。主要原因是由于疫情导致的上半年度教师资格认定未进行，因此数量减少较多。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本部门20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lang w:eastAsia="zh-CN"/>
        </w:rPr>
        <w:t>年度行政许可（含不予受理、予以许可和不予许可）被申请行政复议0宗，直接被提起行政诉讼0宗。因行政批准被提起行政诉讼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1宗，因行政赔偿被提起行政诉讼1宗，两宗行政诉讼均被裁定驳回起诉。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本部门20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lang w:eastAsia="zh-CN"/>
        </w:rPr>
        <w:t>年度行政处罚总数为0宗，罚没收入0元。行政处罚被申请行政复议0宗，直接被提起行政诉讼0宗。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行政处罚方面与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2019年度相比，无变化。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涉嫌犯罪的行政处罚案件移交司法机关，追究刑事责任情况（案件数、涉案人数、涉案金额以及相关情况）；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</w:p>
    <w:p>
      <w:pPr>
        <w:numPr>
          <w:ilvl w:val="0"/>
          <w:numId w:val="1"/>
        </w:numPr>
        <w:spacing w:line="600" w:lineRule="exact"/>
        <w:ind w:left="0" w:leftChars="0"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已采取的事中事后监管措施；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针对县教育局《双随机抽查事项清单》进行了准确的梳理，明确了抽查主体、依据、内容、方式等须事前公开的内容。做好年度双随机抽查计划，对抽查主体进行不定时的单部门或跨部门联合检查。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2020年度，还建立了校外培训机构信用评价体系，探索建立风险管控体系。</w:t>
      </w:r>
      <w:r>
        <w:rPr>
          <w:rFonts w:hint="eastAsia" w:ascii="仿宋" w:hAnsi="仿宋" w:eastAsia="仿宋"/>
          <w:sz w:val="32"/>
          <w:szCs w:val="32"/>
          <w:lang w:eastAsia="zh-CN"/>
        </w:rPr>
        <w:t>另外针对由我局审批决定或者行使中间审核环节的行政许可事项，承办科室已经主动将事项名称、依据、受理机构、审批机构、审批条件、申请材料清单（含示范文本和常见错误示例）、办理流程、办理时限、证照发放、表格下载方式、监督检查、咨询渠道、投诉举报、办公时间、办公地址、办公电话、状态查询等进行公示。</w:t>
      </w:r>
    </w:p>
    <w:p>
      <w:pPr>
        <w:numPr>
          <w:ilvl w:val="0"/>
          <w:numId w:val="1"/>
        </w:numPr>
        <w:spacing w:line="600" w:lineRule="exact"/>
        <w:ind w:left="0" w:leftChars="0"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向本级政府法制机构备案重大行政行为情况；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在浙江政务服务网上行政处罚公开情况；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无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sz w:val="32"/>
          <w:szCs w:val="32"/>
        </w:rPr>
        <w:t>行政许可、处罚实施过程中存在的问题；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在行政处罚方面，</w:t>
      </w:r>
      <w:r>
        <w:rPr>
          <w:rFonts w:hint="eastAsia" w:ascii="仿宋" w:hAnsi="仿宋" w:eastAsia="仿宋"/>
          <w:sz w:val="32"/>
          <w:szCs w:val="32"/>
        </w:rPr>
        <w:t>具有执法资格的干部中，没有一人是法律专业毕业的，缺乏系统的法律知识。</w:t>
      </w:r>
      <w:r>
        <w:rPr>
          <w:rFonts w:hint="eastAsia" w:ascii="仿宋" w:hAnsi="仿宋" w:eastAsia="仿宋"/>
          <w:sz w:val="32"/>
          <w:szCs w:val="32"/>
          <w:lang w:eastAsia="zh-CN"/>
        </w:rPr>
        <w:t>在执法中，由于经验的不足，执法技巧生疏，执法文书制作能力还需加强。</w:t>
      </w:r>
    </w:p>
    <w:p>
      <w:pPr>
        <w:numPr>
          <w:ilvl w:val="0"/>
          <w:numId w:val="0"/>
        </w:num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相关工作建议以及对策；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健全</w:t>
      </w:r>
      <w:r>
        <w:rPr>
          <w:rFonts w:hint="eastAsia" w:ascii="仿宋" w:hAnsi="仿宋" w:eastAsia="仿宋"/>
          <w:sz w:val="32"/>
          <w:szCs w:val="32"/>
          <w:lang w:eastAsia="zh-CN"/>
        </w:rPr>
        <w:t>执法</w:t>
      </w:r>
      <w:r>
        <w:rPr>
          <w:rFonts w:hint="eastAsia" w:ascii="仿宋" w:hAnsi="仿宋" w:eastAsia="仿宋"/>
          <w:sz w:val="32"/>
          <w:szCs w:val="32"/>
        </w:rPr>
        <w:t>机制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规范执法程序，</w:t>
      </w:r>
      <w:r>
        <w:rPr>
          <w:rFonts w:hint="eastAsia" w:ascii="仿宋" w:hAnsi="仿宋" w:eastAsia="仿宋"/>
          <w:sz w:val="32"/>
          <w:szCs w:val="32"/>
          <w:lang w:eastAsia="zh-CN"/>
        </w:rPr>
        <w:t>理</w:t>
      </w:r>
      <w:r>
        <w:rPr>
          <w:rFonts w:hint="eastAsia" w:ascii="仿宋" w:hAnsi="仿宋" w:eastAsia="仿宋"/>
          <w:sz w:val="32"/>
          <w:szCs w:val="32"/>
        </w:rPr>
        <w:t>清执法机关职责权限，整合执法主体，相对集中执法权，实现执法机构的精简和统一</w:t>
      </w:r>
      <w:r>
        <w:rPr>
          <w:rFonts w:hint="eastAsia" w:ascii="仿宋" w:hAnsi="仿宋" w:eastAsia="仿宋"/>
          <w:sz w:val="32"/>
          <w:szCs w:val="32"/>
          <w:lang w:eastAsia="zh-CN"/>
        </w:rPr>
        <w:t>，保障执法的高效。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（二）加强执法办案技能培训。</w:t>
      </w:r>
      <w:r>
        <w:rPr>
          <w:rFonts w:hint="eastAsia" w:ascii="仿宋" w:hAnsi="仿宋" w:eastAsia="仿宋"/>
          <w:sz w:val="32"/>
          <w:szCs w:val="32"/>
        </w:rPr>
        <w:t>狠抓执法纪律和职业道德教育，定期组织人员参加法律法规知识、执法技能等各类培训，提高解决执法中突出矛盾和问题的能力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（三）优化执法环境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加强宣传教育，加快基础设施的建设以及县域内环境的优化，实施“数字化”的城市管理。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加强监督管理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自觉接受执法监督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群众监督和新闻舆论监督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改进执法行为，提高</w:t>
      </w:r>
      <w:r>
        <w:rPr>
          <w:rFonts w:hint="eastAsia" w:ascii="仿宋" w:hAnsi="仿宋" w:eastAsia="仿宋"/>
          <w:sz w:val="32"/>
          <w:szCs w:val="32"/>
          <w:lang w:eastAsia="zh-CN"/>
        </w:rPr>
        <w:t>执法水平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600" w:lineRule="exact"/>
        <w:ind w:firstLine="632" w:firstLineChars="200"/>
        <w:rPr>
          <w:rFonts w:hint="eastAsia" w:ascii="仿宋" w:hAnsi="仿宋" w:eastAsia="仿宋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758" w:right="1531" w:bottom="1871" w:left="1531" w:header="992" w:footer="1304" w:gutter="0"/>
          <w:cols w:space="720" w:num="1"/>
          <w:docGrid w:type="linesAndChars" w:linePitch="598" w:charSpace="-849"/>
        </w:sectPr>
      </w:pPr>
      <w:r>
        <w:rPr>
          <w:rFonts w:hint="eastAsia" w:ascii="仿宋" w:hAnsi="仿宋" w:eastAsia="仿宋"/>
          <w:sz w:val="32"/>
          <w:szCs w:val="32"/>
          <w:lang w:eastAsia="zh-CN"/>
        </w:rPr>
        <w:t>八、《行政许可年度统计报表》和《行政处罚案件年度统计报表》。</w:t>
      </w:r>
    </w:p>
    <w:p>
      <w:pPr>
        <w:spacing w:line="600" w:lineRule="exact"/>
        <w:jc w:val="lef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行政许可年度统计报表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5738" w:hanging="5824" w:hangingChars="2080"/>
        <w:jc w:val="center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ascii="华文仿宋" w:hAnsi="华文仿宋" w:eastAsia="华文仿宋"/>
          <w:kern w:val="0"/>
          <w:sz w:val="28"/>
          <w:szCs w:val="28"/>
        </w:rPr>
        <w:t>20</w:t>
      </w:r>
      <w:r>
        <w:rPr>
          <w:rFonts w:hint="eastAsia" w:ascii="华文仿宋" w:hAnsi="华文仿宋" w:eastAsia="华文仿宋"/>
          <w:kern w:val="0"/>
          <w:sz w:val="28"/>
          <w:szCs w:val="28"/>
          <w:lang w:val="en-US" w:eastAsia="zh-CN"/>
        </w:rPr>
        <w:t>20</w:t>
      </w:r>
      <w:r>
        <w:rPr>
          <w:rFonts w:ascii="华文仿宋" w:hAnsi="华文仿宋" w:eastAsia="华文仿宋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5738" w:hanging="5824" w:hangingChars="2080"/>
        <w:jc w:val="left"/>
        <w:rPr>
          <w:rFonts w:hint="eastAsia" w:ascii="华文仿宋" w:hAnsi="华文仿宋" w:eastAsia="华文仿宋"/>
          <w:kern w:val="0"/>
          <w:sz w:val="28"/>
          <w:szCs w:val="28"/>
          <w:lang w:val="en-US" w:eastAsia="zh-CN"/>
        </w:rPr>
      </w:pPr>
      <w:r>
        <w:rPr>
          <w:rFonts w:ascii="华文仿宋" w:hAnsi="华文仿宋" w:eastAsia="华文仿宋"/>
          <w:kern w:val="0"/>
          <w:sz w:val="28"/>
          <w:szCs w:val="28"/>
        </w:rPr>
        <w:t>填表单位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（盖章）</w:t>
      </w:r>
      <w:r>
        <w:rPr>
          <w:rFonts w:ascii="华文仿宋" w:hAnsi="华文仿宋" w:eastAsia="华文仿宋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t>仙居县教育局</w:t>
      </w:r>
    </w:p>
    <w:tbl>
      <w:tblPr>
        <w:tblStyle w:val="4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5" name="__TH_L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15" o:spid="_x0000_s1026" o:spt="20" style="position:absolute;left:0pt;margin-left:-5.15pt;margin-top:0pt;height:194.4pt;width:60.35pt;z-index:251663360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z9lsrVAAAACAEAAA8AAAAAAAAAAQAgAAAA&#10;IgAAAGRycy9kb3ducmV2LnhtbFBLAQIUABQAAAAIAIdO4kAq2LsB1QEAAKYDAAAOAAAAAAAAAAEA&#10;IAAAACQBAABkcnMvZTJvRG9jLnhtbFBLBQYAAAAABgAGAFkBAABr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（</w:t>
            </w: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项</w:t>
            </w: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5544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应备案︵件︶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实际备案︵件︶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审查纠正︵件︶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对主管人员处分︵件︶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对责任人员处分︵件︶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申 请 ︵ 件 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受 理 ︵ 件 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不予受理︵件︶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准予许可︵件︶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不予许可︵件︶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按期完成︵件︶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告知延长期限︵件︶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经批准超期限完成︵件︶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事项︵件︶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金额︵元︶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依申请举行︵件︶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需赔偿︵件︶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赔偿金额︵元︶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需补偿︵件︶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补偿金额︵元︶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法定听证︵件︶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ascii="华文仿宋" w:hAnsi="华文仿宋" w:eastAsia="华文仿宋"/>
                <w:kern w:val="0"/>
                <w:sz w:val="18"/>
                <w:szCs w:val="18"/>
              </w:rPr>
              <w:t>需要听证︵件︶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填报人：                             审核人：                                主要领导：</w:t>
      </w:r>
    </w:p>
    <w:p>
      <w:pPr>
        <w:spacing w:line="600" w:lineRule="exact"/>
        <w:jc w:val="lef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2311" w:leftChars="34" w:hanging="2240" w:hangingChars="80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  <w:lang w:val="en-US" w:eastAsia="zh-CN"/>
        </w:rPr>
        <w:t>20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5727" w:hanging="5812" w:hangingChars="2076"/>
        <w:jc w:val="left"/>
        <w:rPr>
          <w:rFonts w:hint="eastAsia" w:ascii="仿宋" w:hAnsi="仿宋" w:eastAsia="仿宋"/>
          <w:kern w:val="0"/>
          <w:szCs w:val="21"/>
          <w:lang w:eastAsia="zh-CN"/>
        </w:rPr>
      </w:pPr>
      <w:r>
        <w:rPr>
          <w:rFonts w:ascii="仿宋" w:hAnsi="仿宋" w:eastAsia="仿宋"/>
          <w:kern w:val="0"/>
          <w:sz w:val="28"/>
          <w:szCs w:val="28"/>
        </w:rPr>
        <w:t>填表单位</w:t>
      </w:r>
      <w:r>
        <w:rPr>
          <w:rFonts w:hint="eastAsia" w:ascii="仿宋" w:hAnsi="仿宋" w:eastAsia="仿宋"/>
          <w:kern w:val="0"/>
          <w:sz w:val="28"/>
          <w:szCs w:val="28"/>
        </w:rPr>
        <w:t>（盖章）</w:t>
      </w:r>
      <w:r>
        <w:rPr>
          <w:rFonts w:ascii="仿宋" w:hAnsi="仿宋" w:eastAsia="仿宋"/>
          <w:kern w:val="0"/>
          <w:sz w:val="28"/>
          <w:szCs w:val="28"/>
        </w:rPr>
        <w:t>：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仙居县教育局</w:t>
      </w:r>
    </w:p>
    <w:tbl>
      <w:tblPr>
        <w:tblStyle w:val="4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37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承办案件数︵件︶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办结案件数︵件︶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行政处罚情况(件)</w:t>
            </w:r>
          </w:p>
        </w:tc>
        <w:tc>
          <w:tcPr>
            <w:tcW w:w="2641" w:type="dxa"/>
            <w:gridSpan w:val="1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重大处罚决定备案情况(件)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适用处罚程序情况(件)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处罚执行情况(件)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执法监督情况(件)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行政救济情况(件)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国家赔偿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警告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罚款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没收非法财物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行政拘留︵人︶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一般程序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当事人自行履行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行政强制执行</w:t>
            </w:r>
          </w:p>
        </w:tc>
        <w:tc>
          <w:tcPr>
            <w:tcW w:w="499" w:type="dxa"/>
            <w:gridSpan w:val="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其中:申请法院强制执行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未执行</w:t>
            </w:r>
          </w:p>
        </w:tc>
        <w:tc>
          <w:tcPr>
            <w:tcW w:w="23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自行纠正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上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级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机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关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予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以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撤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销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或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改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变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28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74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决定赔偿数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0" w:type="dxa"/>
            <w:gridSpan w:val="1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其中听证程序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申请行政复议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提起行政诉讼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10日以上行政拘留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告知</w:t>
            </w: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实际适用</w:t>
            </w: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撤回申请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撤诉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FangSong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80" w:lineRule="exact"/>
              <w:ind w:left="-42" w:leftChars="-20" w:right="-42" w:rightChars="-20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FangSong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FangSong_GB2312" w:hAnsi="FangSong_GB2312" w:cs="FangSong_GB2312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填报人：                             审核人：                                主要领导：</w:t>
      </w:r>
    </w:p>
    <w:p>
      <w:pPr>
        <w:spacing w:line="400" w:lineRule="exact"/>
        <w:rPr>
          <w:rFonts w:ascii="华文仿宋" w:hAnsi="华文仿宋" w:eastAsia="华文仿宋" w:cs="FangSong_GB2312"/>
          <w:b/>
          <w:kern w:val="0"/>
          <w:sz w:val="24"/>
        </w:rPr>
      </w:pPr>
      <w:r>
        <w:rPr>
          <w:rFonts w:hint="eastAsia" w:ascii="华文仿宋" w:hAnsi="华文仿宋" w:eastAsia="华文仿宋" w:cs="FangSong_GB2312"/>
          <w:b/>
          <w:kern w:val="0"/>
          <w:sz w:val="24"/>
        </w:rPr>
        <w:t>《行政处罚案件统计报表》填报说明：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1. 承办案件数：是指统计年度中所立案的案件总数。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2. 办结案件数：是指统计年度中已经作出行政处罚决定的案件。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3. 罚没款总额：以元为单位，包括没收非法财物的拍（变）卖价款。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4. 行政处罚情况：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（1）按办结案件实际适用行政处罚种类情况以件统计（以处罚决定书为准）；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（2）其中没收违法所得、没收非法财物也是按适用该项处罚的案件以件统计（不是财物额）；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（3）鉴于一个案件可能同时适用两种或两种以上行政处罚种类，故八项处罚情况总和应等于或大于办结案件数。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5. 适用程序情况：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（1）以办结案件实际适用程序情况统计，适用简易程序案件数+适用一般程序案件数＝办结案件数；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2）听证程序适用情况，以当事人实际提出听证申请，启动听证程序统计，并分别按拟作出的行政处罚决定情况计入较大数额罚款听证、责令停产停业听证、吊销许可证或执照听证、其他听证，四项总和应等于或大于实际适用听证程序数。(拟做出处罚决定有两项需要听证的,分别计入)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6. 执行情况：执行情况按办结案件实际执行情况统计，四项合计应等于办结案件数。</w:t>
      </w:r>
    </w:p>
    <w:p>
      <w:pPr>
        <w:spacing w:line="400" w:lineRule="exact"/>
        <w:ind w:left="118" w:hanging="120" w:hangingChars="5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7. 监督改正情况：是指行政执法监督情况，“自行纠正”是指行政机关在办理行政处罚案件过程中发现错误，自行纠正的情况；</w:t>
      </w:r>
    </w:p>
    <w:p>
      <w:pPr>
        <w:spacing w:line="400" w:lineRule="exact"/>
        <w:ind w:firstLine="120" w:firstLineChars="5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“上级机关予以撤销或改变”是指行政执法机关在办理行政处罚案件过程中，被监督机关（包括上级主管部门、同级政府、政府法制机构、纪检监察等）发现错误予以撤销（包括责令重新作出行政处罚决定）或改变的情况（调查、办理中的不计入）。</w:t>
      </w:r>
    </w:p>
    <w:p>
      <w:pPr>
        <w:spacing w:line="400" w:lineRule="exact"/>
        <w:ind w:firstLine="240" w:firstLineChars="100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8. 行政救济情况：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（1）行政复议：以统计年度实际立案的行政复议案件为准（不予受理的不计入），并根据复议案件审理情况分别计入维持、变更、撤销、在审理中、撤回申请，五项总和应等于复议申请数。</w:t>
      </w:r>
    </w:p>
    <w:p>
      <w:pPr>
        <w:spacing w:line="400" w:lineRule="exact"/>
        <w:rPr>
          <w:rFonts w:ascii="华文仿宋" w:hAnsi="华文仿宋" w:eastAsia="华文仿宋" w:cs="FangSong_GB2312"/>
          <w:kern w:val="0"/>
          <w:sz w:val="24"/>
        </w:rPr>
      </w:pPr>
      <w:r>
        <w:rPr>
          <w:rFonts w:hint="eastAsia" w:ascii="华文仿宋" w:hAnsi="华文仿宋" w:eastAsia="华文仿宋" w:cs="FangSong_GB2312"/>
          <w:kern w:val="0"/>
          <w:sz w:val="24"/>
        </w:rPr>
        <w:t>（2）行政诉讼：以统计年度实际立案的行政诉讼案件为准（不予受理的不计入），并根据诉讼案件审理情况分别计入维持、变更（含责令重作）、撤销、撤诉、审理中，五项总和应等于提起行政诉讼总数。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wordWrap w:val="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04C7"/>
    <w:multiLevelType w:val="singleLevel"/>
    <w:tmpl w:val="11AC04C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56D9"/>
    <w:rsid w:val="10403138"/>
    <w:rsid w:val="1F6F4F42"/>
    <w:rsid w:val="23C14798"/>
    <w:rsid w:val="287F1083"/>
    <w:rsid w:val="47EC40D2"/>
    <w:rsid w:val="739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2021-02-01T07:14:00Z</dcterms:created>
  <dc:creator>lenovo</dc:creator>
  <cp:lastModifiedBy>lenovo</cp:lastModifiedBy>
  <cp:lastPrinted>2021-02-02T02:05:25Z</cp:lastPrinted>
  <dcterms:modified xsi:type="dcterms:W3CDTF">2021-02-02T02:28:54Z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