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Times New Roman"/>
          <w:szCs w:val="24"/>
        </w:rPr>
      </w:pPr>
    </w:p>
    <w:tbl>
      <w:tblPr>
        <w:tblStyle w:val="14"/>
        <w:tblW w:w="89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595"/>
        <w:gridCol w:w="13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0" w:hRule="atLeast"/>
          <w:jc w:val="center"/>
        </w:trPr>
        <w:tc>
          <w:tcPr>
            <w:tcW w:w="7595" w:type="dxa"/>
            <w:noWrap w:val="0"/>
            <w:vAlign w:val="center"/>
          </w:tcPr>
          <w:p>
            <w:pPr>
              <w:spacing w:line="1080" w:lineRule="exact"/>
              <w:jc w:val="distribute"/>
              <w:rPr>
                <w:rFonts w:hint="eastAsia" w:ascii="小标宋" w:hAnsi="宋体" w:eastAsia="小标宋" w:cs="Times New Roman"/>
                <w:color w:val="FF0000"/>
                <w:w w:val="90"/>
                <w:sz w:val="72"/>
                <w:szCs w:val="72"/>
              </w:rPr>
            </w:pPr>
            <w:r>
              <w:rPr>
                <w:rFonts w:hint="eastAsia" w:ascii="小标宋" w:hAnsi="宋体" w:eastAsia="小标宋" w:cs="Times New Roman"/>
                <w:color w:val="FF0000"/>
                <w:w w:val="90"/>
                <w:sz w:val="72"/>
                <w:szCs w:val="72"/>
              </w:rPr>
              <w:t>仙居县发展和改革局</w:t>
            </w:r>
          </w:p>
        </w:tc>
        <w:tc>
          <w:tcPr>
            <w:tcW w:w="1327" w:type="dxa"/>
            <w:vMerge w:val="restart"/>
            <w:noWrap w:val="0"/>
            <w:vAlign w:val="center"/>
          </w:tcPr>
          <w:p>
            <w:pPr>
              <w:rPr>
                <w:rFonts w:hint="eastAsia" w:ascii="小标宋" w:hAnsi="Times New Roman" w:eastAsia="小标宋" w:cs="Times New Roman"/>
                <w:color w:val="FF0000"/>
                <w:w w:val="80"/>
                <w:sz w:val="72"/>
                <w:szCs w:val="72"/>
              </w:rPr>
            </w:pPr>
            <w:r>
              <w:rPr>
                <w:rFonts w:hint="eastAsia" w:ascii="小标宋" w:hAnsi="Times New Roman" w:eastAsia="小标宋" w:cs="Times New Roman"/>
                <w:color w:val="FF0000"/>
                <w:w w:val="80"/>
                <w:sz w:val="72"/>
                <w:szCs w:val="72"/>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0" w:hRule="atLeast"/>
          <w:jc w:val="center"/>
        </w:trPr>
        <w:tc>
          <w:tcPr>
            <w:tcW w:w="7595" w:type="dxa"/>
            <w:noWrap w:val="0"/>
            <w:vAlign w:val="center"/>
          </w:tcPr>
          <w:p>
            <w:pPr>
              <w:spacing w:line="1080" w:lineRule="exact"/>
              <w:jc w:val="distribute"/>
              <w:rPr>
                <w:rFonts w:hint="eastAsia" w:ascii="小标宋" w:hAnsi="宋体" w:eastAsia="小标宋" w:cs="Times New Roman"/>
                <w:color w:val="FF0000"/>
                <w:w w:val="90"/>
                <w:sz w:val="72"/>
                <w:szCs w:val="72"/>
                <w:lang w:eastAsia="zh-CN"/>
              </w:rPr>
            </w:pPr>
            <w:r>
              <w:rPr>
                <w:rFonts w:hint="eastAsia" w:ascii="小标宋" w:hAnsi="宋体" w:eastAsia="小标宋" w:cs="Times New Roman"/>
                <w:color w:val="FF0000"/>
                <w:w w:val="90"/>
                <w:sz w:val="72"/>
                <w:szCs w:val="72"/>
                <w:lang w:eastAsia="zh-CN"/>
              </w:rPr>
              <w:t>共青团仙居县委员会</w:t>
            </w:r>
          </w:p>
        </w:tc>
        <w:tc>
          <w:tcPr>
            <w:tcW w:w="1327" w:type="dxa"/>
            <w:vMerge w:val="continue"/>
            <w:noWrap w:val="0"/>
            <w:vAlign w:val="center"/>
          </w:tcPr>
          <w:p>
            <w:pPr>
              <w:jc w:val="center"/>
              <w:rPr>
                <w:rFonts w:hint="eastAsia" w:ascii="小标宋" w:hAnsi="华文中宋" w:eastAsia="小标宋" w:cs="Times New Roman"/>
                <w:color w:val="FF0000"/>
                <w:w w:val="90"/>
                <w:sz w:val="40"/>
                <w:szCs w:val="24"/>
              </w:rPr>
            </w:pPr>
          </w:p>
        </w:tc>
      </w:tr>
    </w:tbl>
    <w:p>
      <w:pPr>
        <w:spacing w:before="156" w:beforeLines="50" w:line="600" w:lineRule="exact"/>
        <w:jc w:val="center"/>
        <w:rPr>
          <w:rFonts w:hint="eastAsia" w:ascii="仿宋_GB2312" w:hAnsi="Times New Roman" w:eastAsia="仿宋_GB2312" w:cs="Times New Roman"/>
          <w:sz w:val="32"/>
          <w:szCs w:val="24"/>
        </w:rPr>
      </w:pPr>
      <w:r>
        <w:rPr>
          <w:rFonts w:hint="eastAsia" w:ascii="仿宋_GB2312" w:hAnsi="Times New Roman" w:eastAsia="仿宋_GB2312" w:cs="Times New Roman"/>
          <w:sz w:val="32"/>
          <w:szCs w:val="24"/>
        </w:rPr>
        <w:t>仙发改综合〔20</w:t>
      </w:r>
      <w:r>
        <w:rPr>
          <w:rFonts w:hint="eastAsia" w:ascii="仿宋_GB2312" w:hAnsi="Times New Roman" w:eastAsia="仿宋_GB2312" w:cs="Times New Roman"/>
          <w:sz w:val="32"/>
          <w:szCs w:val="24"/>
          <w:lang w:val="en-US" w:eastAsia="zh-CN"/>
        </w:rPr>
        <w:t>21</w:t>
      </w:r>
      <w:r>
        <w:rPr>
          <w:rFonts w:hint="eastAsia" w:ascii="仿宋_GB2312" w:hAnsi="Times New Roman" w:eastAsia="仿宋_GB2312" w:cs="Times New Roman"/>
          <w:sz w:val="32"/>
          <w:szCs w:val="24"/>
        </w:rPr>
        <w:t>〕</w:t>
      </w:r>
      <w:r>
        <w:rPr>
          <w:rFonts w:hint="eastAsia" w:ascii="仿宋_GB2312" w:hAnsi="Times New Roman" w:eastAsia="仿宋_GB2312" w:cs="Times New Roman"/>
          <w:sz w:val="32"/>
          <w:szCs w:val="24"/>
          <w:lang w:val="en-US" w:eastAsia="zh-CN"/>
        </w:rPr>
        <w:t>11</w:t>
      </w:r>
      <w:r>
        <w:rPr>
          <w:rFonts w:hint="eastAsia" w:ascii="仿宋_GB2312" w:hAnsi="Times New Roman" w:eastAsia="仿宋_GB2312" w:cs="Times New Roman"/>
          <w:sz w:val="32"/>
          <w:szCs w:val="24"/>
        </w:rPr>
        <w:t>号</w:t>
      </w:r>
    </w:p>
    <w:p>
      <w:pPr>
        <w:spacing w:line="560" w:lineRule="exact"/>
        <w:jc w:val="center"/>
        <w:rPr>
          <w:rFonts w:hint="eastAsia" w:ascii="Times New Roman" w:hAnsi="Times New Roman" w:eastAsia="仿宋_GB2312" w:cs="Times New Roman"/>
          <w:sz w:val="32"/>
          <w:szCs w:val="24"/>
        </w:rPr>
      </w:pPr>
      <w:r>
        <w:rPr>
          <w:rFonts w:hint="eastAsia" w:ascii="Times New Roman" w:hAnsi="Times New Roman" w:eastAsia="宋体" w:cs="Times New Roman"/>
          <w:b/>
          <w:bCs/>
          <w:sz w:val="44"/>
          <w:szCs w:val="24"/>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53340</wp:posOffset>
                </wp:positionV>
                <wp:extent cx="5961380" cy="0"/>
                <wp:effectExtent l="0" t="15875" r="1270" b="22225"/>
                <wp:wrapNone/>
                <wp:docPr id="1" name="直线 2"/>
                <wp:cNvGraphicFramePr/>
                <a:graphic xmlns:a="http://schemas.openxmlformats.org/drawingml/2006/main">
                  <a:graphicData uri="http://schemas.microsoft.com/office/word/2010/wordprocessingShape">
                    <wps:wsp>
                      <wps:cNvCnPr/>
                      <wps:spPr>
                        <a:xfrm>
                          <a:off x="0" y="0"/>
                          <a:ext cx="5961380" cy="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5pt;margin-top:4.2pt;height:0pt;width:469.4pt;z-index:251659264;mso-width-relative:page;mso-height-relative:page;" filled="f" stroked="t" coordsize="21600,21600" o:gfxdata="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JTUHfbWAAAABwEAAA8AAAAAAAAAAQAgAAAAOAAAAGRycy9kb3du&#10;cmV2LnhtbFBLAQIUABQAAAAIAIdO4kCwl6VH6wEAANwDAAAOAAAAAAAAAAEAIAAAADsBAABkcnMv&#10;ZTJvRG9jLnhtbFBLBQYAAAAABgAGAFkBAACYBQAAAAA=&#10;">
                <v:fill on="f" focussize="0,0"/>
                <v:stroke weight="2.5pt" color="#FF0000" joinstyle="round"/>
                <v:imagedata o:title=""/>
                <o:lock v:ext="edit" aspectratio="f"/>
              </v:line>
            </w:pict>
          </mc:Fallback>
        </mc:AlternateContent>
      </w:r>
    </w:p>
    <w:p>
      <w:pPr>
        <w:spacing w:line="560" w:lineRule="exact"/>
        <w:jc w:val="center"/>
        <w:rPr>
          <w:rFonts w:hint="eastAsia" w:ascii="Times New Roman" w:hAnsi="Times New Roman" w:eastAsia="仿宋_GB2312" w:cs="Times New Roman"/>
          <w:sz w:val="32"/>
          <w:szCs w:val="24"/>
        </w:rPr>
      </w:pPr>
    </w:p>
    <w:p>
      <w:pPr>
        <w:snapToGrid w:val="0"/>
        <w:spacing w:line="680" w:lineRule="exact"/>
        <w:jc w:val="center"/>
        <w:rPr>
          <w:rFonts w:hint="eastAsia" w:ascii="小标宋" w:hAnsi="宋体" w:eastAsia="小标宋" w:cs="Times New Roman"/>
          <w:sz w:val="44"/>
          <w:szCs w:val="44"/>
        </w:rPr>
      </w:pPr>
      <w:r>
        <w:rPr>
          <w:rFonts w:hint="eastAsia" w:ascii="小标宋" w:hAnsi="宋体" w:eastAsia="小标宋" w:cs="Times New Roman"/>
          <w:sz w:val="44"/>
          <w:szCs w:val="44"/>
        </w:rPr>
        <w:t>关于印发《仙居县</w:t>
      </w:r>
      <w:r>
        <w:rPr>
          <w:rFonts w:hint="eastAsia" w:ascii="小标宋" w:hAnsi="宋体" w:eastAsia="小标宋" w:cs="Times New Roman"/>
          <w:sz w:val="44"/>
          <w:szCs w:val="44"/>
          <w:lang w:eastAsia="zh-CN"/>
        </w:rPr>
        <w:t>青年发展</w:t>
      </w:r>
      <w:r>
        <w:rPr>
          <w:rFonts w:ascii="小标宋" w:hAnsi="宋体" w:eastAsia="小标宋" w:cs="Times New Roman"/>
          <w:sz w:val="44"/>
          <w:szCs w:val="44"/>
        </w:rPr>
        <w:t>“十</w:t>
      </w:r>
      <w:r>
        <w:rPr>
          <w:rFonts w:hint="eastAsia" w:ascii="小标宋" w:hAnsi="宋体" w:eastAsia="小标宋" w:cs="Times New Roman"/>
          <w:sz w:val="44"/>
          <w:szCs w:val="44"/>
          <w:lang w:eastAsia="zh-CN"/>
        </w:rPr>
        <w:t>四</w:t>
      </w:r>
      <w:r>
        <w:rPr>
          <w:rFonts w:ascii="小标宋" w:hAnsi="宋体" w:eastAsia="小标宋" w:cs="Times New Roman"/>
          <w:sz w:val="44"/>
          <w:szCs w:val="44"/>
        </w:rPr>
        <w:t>五”</w:t>
      </w:r>
    </w:p>
    <w:p>
      <w:pPr>
        <w:snapToGrid w:val="0"/>
        <w:spacing w:line="680" w:lineRule="exact"/>
        <w:jc w:val="center"/>
        <w:rPr>
          <w:rFonts w:hint="eastAsia" w:ascii="小标宋" w:hAnsi="宋体" w:eastAsia="小标宋" w:cs="Times New Roman"/>
          <w:sz w:val="44"/>
          <w:szCs w:val="44"/>
        </w:rPr>
      </w:pPr>
      <w:r>
        <w:rPr>
          <w:rFonts w:ascii="小标宋" w:hAnsi="宋体" w:eastAsia="小标宋" w:cs="Times New Roman"/>
          <w:sz w:val="44"/>
          <w:szCs w:val="44"/>
        </w:rPr>
        <w:t>规划</w:t>
      </w:r>
      <w:r>
        <w:rPr>
          <w:rFonts w:hint="eastAsia" w:ascii="小标宋" w:hAnsi="宋体" w:eastAsia="小标宋" w:cs="Times New Roman"/>
          <w:sz w:val="44"/>
          <w:szCs w:val="44"/>
        </w:rPr>
        <w:t>》的通知</w:t>
      </w:r>
    </w:p>
    <w:p>
      <w:pPr>
        <w:rPr>
          <w:rFonts w:hint="eastAsia" w:ascii="仿宋_GB2312" w:hAnsi="宋体" w:eastAsia="仿宋_GB2312" w:cs="Times New Roman"/>
          <w:sz w:val="32"/>
          <w:szCs w:val="32"/>
        </w:rPr>
      </w:pPr>
    </w:p>
    <w:p>
      <w:pPr>
        <w:spacing w:line="60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各乡镇人民政府、街道办事处,县级有关单位：</w:t>
      </w:r>
    </w:p>
    <w:p>
      <w:pPr>
        <w:snapToGrid w:val="0"/>
        <w:spacing w:line="600" w:lineRule="exact"/>
        <w:ind w:firstLine="778" w:firstLineChars="25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《仙居县</w:t>
      </w:r>
      <w:r>
        <w:rPr>
          <w:rFonts w:hint="eastAsia" w:ascii="仿宋_GB2312" w:hAnsi="Times New Roman" w:eastAsia="仿宋_GB2312" w:cs="Times New Roman"/>
          <w:sz w:val="32"/>
          <w:szCs w:val="32"/>
          <w:lang w:eastAsia="zh-CN"/>
        </w:rPr>
        <w:t>青年发展</w:t>
      </w:r>
      <w:r>
        <w:rPr>
          <w:rFonts w:ascii="仿宋_GB2312" w:hAnsi="Times New Roman" w:eastAsia="仿宋_GB2312" w:cs="Times New Roman"/>
          <w:sz w:val="32"/>
          <w:szCs w:val="32"/>
        </w:rPr>
        <w:t>“十</w:t>
      </w:r>
      <w:r>
        <w:rPr>
          <w:rFonts w:hint="eastAsia" w:ascii="仿宋_GB2312" w:hAnsi="Times New Roman" w:eastAsia="仿宋_GB2312" w:cs="Times New Roman"/>
          <w:sz w:val="32"/>
          <w:szCs w:val="32"/>
          <w:lang w:eastAsia="zh-CN"/>
        </w:rPr>
        <w:t>四</w:t>
      </w:r>
      <w:r>
        <w:rPr>
          <w:rFonts w:ascii="仿宋_GB2312" w:hAnsi="Times New Roman" w:eastAsia="仿宋_GB2312" w:cs="Times New Roman"/>
          <w:sz w:val="32"/>
          <w:szCs w:val="32"/>
        </w:rPr>
        <w:t>五”规划</w:t>
      </w:r>
      <w:r>
        <w:rPr>
          <w:rFonts w:hint="eastAsia" w:ascii="仿宋_GB2312" w:hAnsi="Times New Roman" w:eastAsia="仿宋_GB2312" w:cs="Times New Roman"/>
          <w:sz w:val="32"/>
          <w:szCs w:val="32"/>
        </w:rPr>
        <w:t>》</w:t>
      </w:r>
      <w:r>
        <w:rPr>
          <w:rFonts w:hint="eastAsia" w:ascii="仿宋_GB2312" w:hAnsi="宋体" w:eastAsia="仿宋_GB2312" w:cs="Times New Roman"/>
          <w:sz w:val="32"/>
          <w:szCs w:val="32"/>
        </w:rPr>
        <w:t>是列入我县“十</w:t>
      </w:r>
      <w:r>
        <w:rPr>
          <w:rFonts w:hint="eastAsia" w:ascii="仿宋_GB2312" w:hAnsi="宋体" w:eastAsia="仿宋_GB2312" w:cs="Times New Roman"/>
          <w:sz w:val="32"/>
          <w:szCs w:val="32"/>
          <w:lang w:eastAsia="zh-CN"/>
        </w:rPr>
        <w:t>四</w:t>
      </w:r>
      <w:r>
        <w:rPr>
          <w:rFonts w:hint="eastAsia" w:ascii="仿宋_GB2312" w:hAnsi="宋体" w:eastAsia="仿宋_GB2312" w:cs="Times New Roman"/>
          <w:sz w:val="32"/>
          <w:szCs w:val="32"/>
        </w:rPr>
        <w:t>五”规划体系目录的专项规划。现印发</w:t>
      </w:r>
      <w:r>
        <w:rPr>
          <w:rFonts w:hint="eastAsia" w:ascii="仿宋_GB2312" w:hAnsi="Times New Roman" w:eastAsia="仿宋_GB2312" w:cs="Times New Roman"/>
          <w:sz w:val="32"/>
          <w:szCs w:val="32"/>
        </w:rPr>
        <w:t>给你们，请结合实际，认真组织实施。</w:t>
      </w:r>
    </w:p>
    <w:p>
      <w:pPr>
        <w:snapToGrid w:val="0"/>
        <w:spacing w:before="156" w:beforeLines="50" w:line="600" w:lineRule="exact"/>
        <w:ind w:firstLine="778" w:firstLineChars="25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附件：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仙居县</w:t>
      </w:r>
      <w:r>
        <w:rPr>
          <w:rFonts w:hint="eastAsia" w:ascii="Times New Roman" w:hAnsi="Times New Roman" w:eastAsia="仿宋_GB2312" w:cs="Times New Roman"/>
          <w:sz w:val="32"/>
          <w:szCs w:val="32"/>
          <w:lang w:eastAsia="zh-CN"/>
        </w:rPr>
        <w:t>青年发展</w:t>
      </w:r>
      <w:r>
        <w:rPr>
          <w:rFonts w:ascii="Times New Roman" w:hAnsi="Times New Roman" w:eastAsia="仿宋_GB2312" w:cs="Times New Roman"/>
          <w:sz w:val="32"/>
          <w:szCs w:val="32"/>
        </w:rPr>
        <w:t>“十</w:t>
      </w:r>
      <w:r>
        <w:rPr>
          <w:rFonts w:hint="eastAsia" w:ascii="Times New Roman" w:hAnsi="Times New Roman" w:eastAsia="仿宋_GB2312" w:cs="Times New Roman"/>
          <w:sz w:val="32"/>
          <w:szCs w:val="32"/>
          <w:lang w:eastAsia="zh-CN"/>
        </w:rPr>
        <w:t>四</w:t>
      </w:r>
      <w:r>
        <w:rPr>
          <w:rFonts w:ascii="Times New Roman" w:hAnsi="Times New Roman" w:eastAsia="仿宋_GB2312" w:cs="Times New Roman"/>
          <w:sz w:val="32"/>
          <w:szCs w:val="32"/>
        </w:rPr>
        <w:t>五”规划</w:t>
      </w:r>
      <w:r>
        <w:rPr>
          <w:rFonts w:hint="eastAsia" w:ascii="Times New Roman" w:hAnsi="Times New Roman" w:eastAsia="仿宋_GB2312" w:cs="Times New Roman"/>
          <w:sz w:val="32"/>
          <w:szCs w:val="32"/>
          <w:lang w:eastAsia="zh-CN"/>
        </w:rPr>
        <w:t>》</w:t>
      </w:r>
    </w:p>
    <w:p>
      <w:pPr>
        <w:spacing w:before="312" w:beforeLines="100" w:line="580" w:lineRule="atLeast"/>
        <w:jc w:val="center"/>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 xml:space="preserve">仙居县发展和改革局     </w:t>
      </w:r>
      <w:r>
        <w:rPr>
          <w:rFonts w:hint="eastAsia" w:ascii="仿宋_GB2312" w:hAnsi="Times New Roman" w:eastAsia="仿宋_GB2312" w:cs="Times New Roman"/>
          <w:sz w:val="32"/>
          <w:szCs w:val="32"/>
          <w:lang w:eastAsia="zh-CN"/>
        </w:rPr>
        <w:t>共青团仙居县委员会</w:t>
      </w:r>
    </w:p>
    <w:p>
      <w:pPr>
        <w:tabs>
          <w:tab w:val="left" w:pos="8730"/>
        </w:tabs>
        <w:spacing w:line="580" w:lineRule="atLeast"/>
        <w:ind w:firstLine="622" w:firstLineChars="200"/>
        <w:jc w:val="cente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w:t>
      </w:r>
      <w:r>
        <w:rPr>
          <w:rFonts w:hint="eastAsia" w:ascii="仿宋_GB2312" w:hAnsi="Times New Roman" w:eastAsia="仿宋_GB2312" w:cs="Times New Roman"/>
          <w:sz w:val="32"/>
          <w:szCs w:val="32"/>
          <w:lang w:val="en-US" w:eastAsia="zh-CN"/>
        </w:rPr>
        <w:t>21</w:t>
      </w:r>
      <w:r>
        <w:rPr>
          <w:rFonts w:hint="eastAsia" w:ascii="仿宋_GB2312" w:hAnsi="Times New Roman" w:eastAsia="仿宋_GB2312" w:cs="Times New Roman"/>
          <w:sz w:val="32"/>
          <w:szCs w:val="32"/>
        </w:rPr>
        <w:t>年</w:t>
      </w:r>
      <w:r>
        <w:rPr>
          <w:rFonts w:hint="eastAsia" w:ascii="仿宋_GB2312" w:hAnsi="Times New Roman" w:eastAsia="仿宋_GB2312" w:cs="Times New Roman"/>
          <w:sz w:val="32"/>
          <w:szCs w:val="32"/>
          <w:lang w:val="en-US" w:eastAsia="zh-CN"/>
        </w:rPr>
        <w:t>12</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rPr>
        <w:t>日</w:t>
      </w:r>
    </w:p>
    <w:p>
      <w:pPr>
        <w:spacing w:line="420" w:lineRule="exact"/>
        <w:rPr>
          <w:rFonts w:hint="eastAsia" w:ascii="Times New Roman" w:hAnsi="Times New Roman" w:eastAsia="仿宋_GB2312" w:cs="Times New Roman"/>
          <w:sz w:val="28"/>
          <w:szCs w:val="28"/>
          <w:u w:val="single"/>
        </w:rPr>
      </w:pPr>
      <w:r>
        <w:rPr>
          <w:rFonts w:hint="eastAsia" w:ascii="Times New Roman" w:hAnsi="Times New Roman" w:eastAsia="仿宋_GB2312" w:cs="Times New Roman"/>
          <w:sz w:val="28"/>
          <w:szCs w:val="28"/>
          <w:u w:val="single"/>
        </w:rPr>
        <w:t xml:space="preserve">                                                              </w:t>
      </w:r>
    </w:p>
    <w:p>
      <w:pPr>
        <w:spacing w:line="420" w:lineRule="exact"/>
        <w:rPr>
          <w:rFonts w:hint="eastAsia" w:ascii="Times New Roman" w:hAnsi="Times New Roman" w:eastAsia="仿宋_GB2312" w:cs="Times New Roman"/>
          <w:sz w:val="28"/>
          <w:szCs w:val="28"/>
          <w:u w:val="single"/>
        </w:rPr>
      </w:pPr>
      <w:r>
        <w:rPr>
          <w:rFonts w:hint="eastAsia" w:ascii="Times New Roman" w:hAnsi="Times New Roman" w:eastAsia="仿宋_GB2312" w:cs="Times New Roman"/>
          <w:sz w:val="28"/>
          <w:szCs w:val="28"/>
          <w:u w:val="single"/>
        </w:rPr>
        <w:t xml:space="preserve">  抄送：</w:t>
      </w:r>
      <w:r>
        <w:rPr>
          <w:rFonts w:hint="eastAsia" w:ascii="仿宋_GB2312" w:hAnsi="宋体" w:eastAsia="仿宋_GB2312" w:cs="Times New Roman"/>
          <w:sz w:val="28"/>
          <w:szCs w:val="28"/>
          <w:u w:val="single"/>
        </w:rPr>
        <w:t xml:space="preserve">县政府办公室。                            </w:t>
      </w:r>
      <w:r>
        <w:rPr>
          <w:rFonts w:hint="eastAsia" w:ascii="Times New Roman" w:hAnsi="Times New Roman" w:eastAsia="仿宋_GB2312" w:cs="Times New Roman"/>
          <w:sz w:val="28"/>
          <w:szCs w:val="28"/>
          <w:u w:val="single"/>
        </w:rPr>
        <w:t xml:space="preserve">            </w:t>
      </w:r>
    </w:p>
    <w:p>
      <w:pPr>
        <w:spacing w:line="420" w:lineRule="exact"/>
        <w:rPr>
          <w:rFonts w:hint="eastAsia" w:ascii="仿宋_GB2312" w:hAnsi="Times New Roman" w:eastAsia="仿宋_GB2312" w:cs="Times New Roman"/>
          <w:sz w:val="28"/>
          <w:szCs w:val="28"/>
          <w:u w:val="single"/>
        </w:rPr>
      </w:pPr>
      <w:r>
        <w:rPr>
          <w:rFonts w:hint="eastAsia" w:ascii="仿宋_GB2312" w:hAnsi="Times New Roman" w:eastAsia="仿宋_GB2312" w:cs="Times New Roman"/>
          <w:sz w:val="28"/>
          <w:szCs w:val="28"/>
          <w:u w:val="single"/>
        </w:rPr>
        <w:t xml:space="preserve">  仙居县发展和改革局             </w:t>
      </w:r>
      <w:r>
        <w:rPr>
          <w:rFonts w:hint="eastAsia" w:ascii="仿宋_GB2312" w:hAnsi="Times New Roman" w:eastAsia="仿宋_GB2312" w:cs="Times New Roman"/>
          <w:sz w:val="28"/>
          <w:szCs w:val="28"/>
          <w:u w:val="single"/>
          <w:lang w:val="en-US" w:eastAsia="zh-CN"/>
        </w:rPr>
        <w:t xml:space="preserve">      </w:t>
      </w:r>
      <w:r>
        <w:rPr>
          <w:rFonts w:hint="eastAsia" w:ascii="仿宋_GB2312" w:hAnsi="Times New Roman" w:eastAsia="仿宋_GB2312" w:cs="Times New Roman"/>
          <w:sz w:val="28"/>
          <w:szCs w:val="28"/>
          <w:u w:val="single"/>
        </w:rPr>
        <w:t xml:space="preserve"> 20</w:t>
      </w:r>
      <w:r>
        <w:rPr>
          <w:rFonts w:hint="eastAsia" w:ascii="仿宋_GB2312" w:hAnsi="Times New Roman" w:eastAsia="仿宋_GB2312" w:cs="Times New Roman"/>
          <w:sz w:val="28"/>
          <w:szCs w:val="28"/>
          <w:u w:val="single"/>
          <w:lang w:val="en-US" w:eastAsia="zh-CN"/>
        </w:rPr>
        <w:t>21</w:t>
      </w:r>
      <w:r>
        <w:rPr>
          <w:rFonts w:hint="eastAsia" w:ascii="仿宋_GB2312" w:hAnsi="Times New Roman" w:eastAsia="仿宋_GB2312" w:cs="Times New Roman"/>
          <w:sz w:val="28"/>
          <w:szCs w:val="28"/>
          <w:u w:val="single"/>
        </w:rPr>
        <w:t>年</w:t>
      </w:r>
      <w:r>
        <w:rPr>
          <w:rFonts w:hint="eastAsia" w:ascii="仿宋_GB2312" w:hAnsi="Times New Roman" w:eastAsia="仿宋_GB2312" w:cs="Times New Roman"/>
          <w:sz w:val="28"/>
          <w:szCs w:val="28"/>
          <w:u w:val="single"/>
          <w:lang w:val="en-US" w:eastAsia="zh-CN"/>
        </w:rPr>
        <w:t>12</w:t>
      </w:r>
      <w:r>
        <w:rPr>
          <w:rFonts w:hint="eastAsia" w:ascii="仿宋_GB2312" w:hAnsi="Times New Roman" w:eastAsia="仿宋_GB2312" w:cs="Times New Roman"/>
          <w:sz w:val="28"/>
          <w:szCs w:val="28"/>
          <w:u w:val="single"/>
        </w:rPr>
        <w:t>月</w:t>
      </w:r>
      <w:r>
        <w:rPr>
          <w:rFonts w:hint="eastAsia" w:ascii="仿宋_GB2312" w:hAnsi="Times New Roman" w:eastAsia="仿宋_GB2312" w:cs="Times New Roman"/>
          <w:sz w:val="28"/>
          <w:szCs w:val="28"/>
          <w:u w:val="single"/>
          <w:lang w:val="en-US" w:eastAsia="zh-CN"/>
        </w:rPr>
        <w:t>6</w:t>
      </w:r>
      <w:r>
        <w:rPr>
          <w:rFonts w:hint="eastAsia" w:ascii="仿宋_GB2312" w:hAnsi="Times New Roman" w:eastAsia="仿宋_GB2312" w:cs="Times New Roman"/>
          <w:sz w:val="28"/>
          <w:szCs w:val="28"/>
          <w:u w:val="single"/>
        </w:rPr>
        <w:t xml:space="preserve">日印发  </w:t>
      </w:r>
    </w:p>
    <w:p>
      <w:pPr>
        <w:spacing w:line="600" w:lineRule="exact"/>
        <w:ind w:firstLine="560"/>
        <w:rPr>
          <w:rFonts w:ascii="仿宋_GB2312" w:hAnsi="仿宋_GB2312" w:cs="仿宋_GB2312"/>
          <w:color w:val="000000" w:themeColor="text1"/>
          <w:szCs w:val="28"/>
          <w14:textFill>
            <w14:solidFill>
              <w14:schemeClr w14:val="tx1"/>
            </w14:solidFill>
          </w14:textFill>
        </w:rPr>
      </w:pPr>
    </w:p>
    <w:p>
      <w:pPr>
        <w:spacing w:line="600" w:lineRule="exact"/>
        <w:ind w:firstLine="964"/>
        <w:jc w:val="center"/>
        <w:rPr>
          <w:rFonts w:ascii="仿宋_GB2312" w:hAnsi="仿宋_GB2312" w:cs="仿宋_GB2312"/>
          <w:b/>
          <w:bCs/>
          <w:color w:val="000000" w:themeColor="text1"/>
          <w:sz w:val="48"/>
          <w:szCs w:val="48"/>
          <w14:textFill>
            <w14:solidFill>
              <w14:schemeClr w14:val="tx1"/>
            </w14:solidFill>
          </w14:textFill>
        </w:rPr>
      </w:pPr>
    </w:p>
    <w:p>
      <w:pPr>
        <w:spacing w:line="600" w:lineRule="exact"/>
        <w:ind w:firstLine="964"/>
        <w:jc w:val="center"/>
        <w:rPr>
          <w:rFonts w:ascii="仿宋_GB2312" w:hAnsi="仿宋_GB2312" w:cs="仿宋_GB2312"/>
          <w:b/>
          <w:bCs/>
          <w:color w:val="000000" w:themeColor="text1"/>
          <w:sz w:val="48"/>
          <w:szCs w:val="48"/>
          <w14:textFill>
            <w14:solidFill>
              <w14:schemeClr w14:val="tx1"/>
            </w14:solidFill>
          </w14:textFill>
        </w:rPr>
      </w:pPr>
    </w:p>
    <w:p>
      <w:pPr>
        <w:spacing w:line="600" w:lineRule="exact"/>
        <w:ind w:firstLine="964"/>
        <w:jc w:val="center"/>
        <w:rPr>
          <w:rFonts w:ascii="仿宋_GB2312" w:hAnsi="仿宋_GB2312" w:cs="仿宋_GB2312"/>
          <w:b/>
          <w:bCs/>
          <w:color w:val="000000" w:themeColor="text1"/>
          <w:sz w:val="48"/>
          <w:szCs w:val="48"/>
          <w14:textFill>
            <w14:solidFill>
              <w14:schemeClr w14:val="tx1"/>
            </w14:solidFill>
          </w14:textFill>
        </w:rPr>
      </w:pPr>
    </w:p>
    <w:p>
      <w:pPr>
        <w:spacing w:line="600" w:lineRule="exact"/>
        <w:ind w:firstLine="964"/>
        <w:jc w:val="center"/>
        <w:rPr>
          <w:rFonts w:ascii="仿宋_GB2312" w:hAnsi="仿宋_GB2312" w:cs="仿宋_GB2312"/>
          <w:b/>
          <w:bCs/>
          <w:color w:val="000000" w:themeColor="text1"/>
          <w:sz w:val="48"/>
          <w:szCs w:val="48"/>
          <w14:textFill>
            <w14:solidFill>
              <w14:schemeClr w14:val="tx1"/>
            </w14:solidFill>
          </w14:textFill>
        </w:rPr>
      </w:pPr>
    </w:p>
    <w:p>
      <w:pPr>
        <w:spacing w:line="600" w:lineRule="exact"/>
        <w:ind w:firstLine="964"/>
        <w:jc w:val="center"/>
        <w:rPr>
          <w:rFonts w:ascii="仿宋_GB2312" w:hAnsi="仿宋_GB2312" w:cs="仿宋_GB2312"/>
          <w:b/>
          <w:bCs/>
          <w:color w:val="000000" w:themeColor="text1"/>
          <w:sz w:val="48"/>
          <w:szCs w:val="48"/>
          <w14:textFill>
            <w14:solidFill>
              <w14:schemeClr w14:val="tx1"/>
            </w14:solidFill>
          </w14:textFill>
        </w:rPr>
      </w:pPr>
    </w:p>
    <w:p>
      <w:pPr>
        <w:spacing w:line="600" w:lineRule="exact"/>
        <w:ind w:firstLine="964"/>
        <w:jc w:val="center"/>
        <w:rPr>
          <w:rFonts w:ascii="仿宋_GB2312" w:hAnsi="仿宋_GB2312" w:cs="仿宋_GB2312"/>
          <w:b/>
          <w:bCs/>
          <w:color w:val="000000" w:themeColor="text1"/>
          <w:sz w:val="48"/>
          <w:szCs w:val="48"/>
          <w14:textFill>
            <w14:solidFill>
              <w14:schemeClr w14:val="tx1"/>
            </w14:solidFill>
          </w14:textFill>
        </w:rPr>
      </w:pPr>
    </w:p>
    <w:p>
      <w:pPr>
        <w:spacing w:line="600" w:lineRule="exact"/>
        <w:jc w:val="center"/>
        <w:rPr>
          <w:rFonts w:ascii="方正小标宋简体" w:hAnsi="方正粗黑宋简体" w:eastAsia="方正小标宋简体" w:cs="宋体"/>
          <w:bCs/>
          <w:color w:val="000000" w:themeColor="text1"/>
          <w:sz w:val="52"/>
          <w:szCs w:val="52"/>
          <w14:textFill>
            <w14:solidFill>
              <w14:schemeClr w14:val="tx1"/>
            </w14:solidFill>
          </w14:textFill>
        </w:rPr>
      </w:pPr>
      <w:r>
        <w:rPr>
          <w:rFonts w:hint="eastAsia" w:ascii="方正小标宋简体" w:hAnsi="方正粗黑宋简体" w:eastAsia="方正小标宋简体" w:cs="方正小标宋简体"/>
          <w:color w:val="000000" w:themeColor="text1"/>
          <w:spacing w:val="34"/>
          <w:sz w:val="52"/>
          <w:szCs w:val="52"/>
          <w14:textFill>
            <w14:solidFill>
              <w14:schemeClr w14:val="tx1"/>
            </w14:solidFill>
          </w14:textFill>
        </w:rPr>
        <w:t>仙居县青年发展十四五规划</w:t>
      </w:r>
    </w:p>
    <w:p>
      <w:pPr>
        <w:spacing w:line="600" w:lineRule="exact"/>
        <w:jc w:val="center"/>
        <w:rPr>
          <w:rFonts w:ascii="楷体_GB2312" w:hAnsi="宋体" w:eastAsia="楷体_GB2312" w:cs="宋体"/>
          <w:bCs/>
          <w:color w:val="000000" w:themeColor="text1"/>
          <w:spacing w:val="34"/>
          <w:sz w:val="44"/>
          <w:szCs w:val="44"/>
          <w14:textFill>
            <w14:solidFill>
              <w14:schemeClr w14:val="tx1"/>
            </w14:solidFill>
          </w14:textFill>
        </w:rPr>
      </w:pPr>
      <w:r>
        <w:rPr>
          <w:rFonts w:hint="eastAsia" w:ascii="楷体_GB2312" w:hAnsi="方正小标宋简体" w:eastAsia="楷体_GB2312" w:cs="方正小标宋简体"/>
          <w:color w:val="000000" w:themeColor="text1"/>
          <w:spacing w:val="34"/>
          <w:sz w:val="44"/>
          <w:szCs w:val="44"/>
          <w14:textFill>
            <w14:solidFill>
              <w14:schemeClr w14:val="tx1"/>
            </w14:solidFill>
          </w14:textFill>
        </w:rPr>
        <w:t>（2021-2025年）</w:t>
      </w:r>
    </w:p>
    <w:p>
      <w:pPr>
        <w:spacing w:line="600" w:lineRule="exact"/>
        <w:ind w:firstLine="643"/>
        <w:jc w:val="center"/>
        <w:rPr>
          <w:rFonts w:ascii="仿宋_GB2312" w:hAnsi="仿宋_GB2312" w:cs="仿宋_GB2312"/>
          <w:b/>
          <w:bCs/>
          <w:color w:val="000000" w:themeColor="text1"/>
          <w:sz w:val="32"/>
          <w:szCs w:val="32"/>
          <w14:textFill>
            <w14:solidFill>
              <w14:schemeClr w14:val="tx1"/>
            </w14:solidFill>
          </w14:textFill>
        </w:rPr>
      </w:pPr>
    </w:p>
    <w:p>
      <w:pPr>
        <w:spacing w:line="600" w:lineRule="exact"/>
        <w:ind w:firstLine="643"/>
        <w:jc w:val="center"/>
        <w:rPr>
          <w:rFonts w:ascii="仿宋_GB2312" w:hAnsi="仿宋_GB2312" w:cs="仿宋_GB2312"/>
          <w:b/>
          <w:bCs/>
          <w:color w:val="000000" w:themeColor="text1"/>
          <w:sz w:val="32"/>
          <w:szCs w:val="32"/>
          <w14:textFill>
            <w14:solidFill>
              <w14:schemeClr w14:val="tx1"/>
            </w14:solidFill>
          </w14:textFill>
        </w:rPr>
      </w:pPr>
    </w:p>
    <w:p>
      <w:pPr>
        <w:spacing w:line="600" w:lineRule="exact"/>
        <w:ind w:firstLine="643"/>
        <w:jc w:val="center"/>
        <w:rPr>
          <w:rFonts w:ascii="仿宋_GB2312" w:hAnsi="仿宋_GB2312" w:cs="仿宋_GB2312"/>
          <w:b/>
          <w:bCs/>
          <w:color w:val="000000" w:themeColor="text1"/>
          <w:sz w:val="32"/>
          <w:szCs w:val="32"/>
          <w14:textFill>
            <w14:solidFill>
              <w14:schemeClr w14:val="tx1"/>
            </w14:solidFill>
          </w14:textFill>
        </w:rPr>
      </w:pPr>
    </w:p>
    <w:p>
      <w:pPr>
        <w:spacing w:line="600" w:lineRule="exact"/>
        <w:ind w:firstLine="643"/>
        <w:jc w:val="center"/>
        <w:rPr>
          <w:rFonts w:ascii="仿宋_GB2312" w:hAnsi="仿宋_GB2312" w:cs="仿宋_GB2312"/>
          <w:b/>
          <w:bCs/>
          <w:color w:val="000000" w:themeColor="text1"/>
          <w:sz w:val="32"/>
          <w:szCs w:val="32"/>
          <w14:textFill>
            <w14:solidFill>
              <w14:schemeClr w14:val="tx1"/>
            </w14:solidFill>
          </w14:textFill>
        </w:rPr>
      </w:pPr>
    </w:p>
    <w:p>
      <w:pPr>
        <w:spacing w:line="600" w:lineRule="exact"/>
        <w:ind w:firstLine="643"/>
        <w:jc w:val="center"/>
        <w:rPr>
          <w:rFonts w:ascii="仿宋_GB2312" w:hAnsi="仿宋_GB2312" w:cs="仿宋_GB2312"/>
          <w:b/>
          <w:bCs/>
          <w:color w:val="000000" w:themeColor="text1"/>
          <w:sz w:val="32"/>
          <w:szCs w:val="32"/>
          <w14:textFill>
            <w14:solidFill>
              <w14:schemeClr w14:val="tx1"/>
            </w14:solidFill>
          </w14:textFill>
        </w:rPr>
      </w:pPr>
    </w:p>
    <w:p>
      <w:pPr>
        <w:spacing w:line="600" w:lineRule="exact"/>
        <w:ind w:firstLine="643"/>
        <w:jc w:val="center"/>
        <w:rPr>
          <w:rFonts w:ascii="仿宋_GB2312" w:hAnsi="仿宋_GB2312" w:cs="仿宋_GB2312"/>
          <w:b/>
          <w:bCs/>
          <w:color w:val="000000" w:themeColor="text1"/>
          <w:sz w:val="32"/>
          <w:szCs w:val="32"/>
          <w14:textFill>
            <w14:solidFill>
              <w14:schemeClr w14:val="tx1"/>
            </w14:solidFill>
          </w14:textFill>
        </w:rPr>
      </w:pPr>
    </w:p>
    <w:p>
      <w:pPr>
        <w:spacing w:line="600" w:lineRule="exact"/>
        <w:ind w:firstLine="643"/>
        <w:jc w:val="center"/>
        <w:rPr>
          <w:rFonts w:ascii="仿宋_GB2312" w:hAnsi="仿宋_GB2312" w:cs="仿宋_GB2312"/>
          <w:b/>
          <w:bCs/>
          <w:color w:val="000000" w:themeColor="text1"/>
          <w:sz w:val="32"/>
          <w:szCs w:val="32"/>
          <w14:textFill>
            <w14:solidFill>
              <w14:schemeClr w14:val="tx1"/>
            </w14:solidFill>
          </w14:textFill>
        </w:rPr>
      </w:pPr>
    </w:p>
    <w:p>
      <w:pPr>
        <w:spacing w:line="600" w:lineRule="exact"/>
        <w:ind w:firstLine="643"/>
        <w:jc w:val="center"/>
        <w:rPr>
          <w:rFonts w:ascii="仿宋_GB2312" w:hAnsi="仿宋_GB2312" w:cs="仿宋_GB2312"/>
          <w:b/>
          <w:bCs/>
          <w:color w:val="000000" w:themeColor="text1"/>
          <w:sz w:val="32"/>
          <w:szCs w:val="32"/>
          <w14:textFill>
            <w14:solidFill>
              <w14:schemeClr w14:val="tx1"/>
            </w14:solidFill>
          </w14:textFill>
        </w:rPr>
      </w:pPr>
    </w:p>
    <w:p>
      <w:pPr>
        <w:spacing w:line="600" w:lineRule="exact"/>
        <w:ind w:firstLine="643"/>
        <w:jc w:val="center"/>
        <w:rPr>
          <w:rFonts w:ascii="仿宋_GB2312" w:hAnsi="仿宋_GB2312" w:cs="仿宋_GB2312"/>
          <w:b/>
          <w:bCs/>
          <w:color w:val="000000" w:themeColor="text1"/>
          <w:sz w:val="32"/>
          <w:szCs w:val="32"/>
          <w14:textFill>
            <w14:solidFill>
              <w14:schemeClr w14:val="tx1"/>
            </w14:solidFill>
          </w14:textFill>
        </w:rPr>
      </w:pPr>
    </w:p>
    <w:p>
      <w:pPr>
        <w:spacing w:line="600" w:lineRule="exact"/>
        <w:ind w:firstLine="643"/>
        <w:jc w:val="center"/>
        <w:rPr>
          <w:rFonts w:ascii="仿宋_GB2312" w:hAnsi="仿宋_GB2312" w:cs="仿宋_GB2312"/>
          <w:b/>
          <w:bCs/>
          <w:color w:val="000000" w:themeColor="text1"/>
          <w:sz w:val="32"/>
          <w:szCs w:val="32"/>
          <w14:textFill>
            <w14:solidFill>
              <w14:schemeClr w14:val="tx1"/>
            </w14:solidFill>
          </w14:textFill>
        </w:rPr>
      </w:pPr>
    </w:p>
    <w:p>
      <w:pPr>
        <w:spacing w:line="600" w:lineRule="exact"/>
        <w:jc w:val="center"/>
        <w:rPr>
          <w:rFonts w:ascii="楷体_GB2312" w:hAnsi="楷体_GB2312" w:eastAsia="楷体_GB2312" w:cs="楷体_GB2312"/>
          <w:color w:val="000000" w:themeColor="text1"/>
          <w:sz w:val="36"/>
          <w:szCs w:val="36"/>
          <w14:textFill>
            <w14:solidFill>
              <w14:schemeClr w14:val="tx1"/>
            </w14:solidFill>
          </w14:textFill>
        </w:rPr>
      </w:pPr>
      <w:r>
        <w:rPr>
          <w:rFonts w:hint="eastAsia" w:ascii="楷体_GB2312" w:hAnsi="楷体_GB2312" w:eastAsia="楷体_GB2312" w:cs="楷体_GB2312"/>
          <w:color w:val="000000" w:themeColor="text1"/>
          <w:sz w:val="36"/>
          <w:szCs w:val="36"/>
          <w14:textFill>
            <w14:solidFill>
              <w14:schemeClr w14:val="tx1"/>
            </w14:solidFill>
          </w14:textFill>
        </w:rPr>
        <w:t>共青团仙居县委</w:t>
      </w:r>
    </w:p>
    <w:p>
      <w:pPr>
        <w:spacing w:line="600" w:lineRule="exact"/>
        <w:jc w:val="center"/>
        <w:rPr>
          <w:rFonts w:ascii="楷体_GB2312" w:hAnsi="楷体_GB2312" w:eastAsia="楷体_GB2312" w:cs="楷体_GB2312"/>
          <w:color w:val="000000" w:themeColor="text1"/>
          <w:sz w:val="36"/>
          <w:szCs w:val="36"/>
          <w14:textFill>
            <w14:solidFill>
              <w14:schemeClr w14:val="tx1"/>
            </w14:solidFill>
          </w14:textFill>
        </w:rPr>
      </w:pPr>
      <w:r>
        <w:rPr>
          <w:rFonts w:hint="eastAsia" w:ascii="楷体_GB2312" w:hAnsi="楷体_GB2312" w:eastAsia="楷体_GB2312" w:cs="楷体_GB2312"/>
          <w:color w:val="000000" w:themeColor="text1"/>
          <w:sz w:val="36"/>
          <w:szCs w:val="36"/>
          <w14:textFill>
            <w14:solidFill>
              <w14:schemeClr w14:val="tx1"/>
            </w14:solidFill>
          </w14:textFill>
        </w:rPr>
        <w:t>二〇二一年十月</w:t>
      </w:r>
    </w:p>
    <w:p>
      <w:pPr>
        <w:spacing w:line="600" w:lineRule="exact"/>
        <w:ind w:firstLine="643"/>
        <w:rPr>
          <w:rFonts w:ascii="仿宋_GB2312" w:hAnsi="仿宋_GB2312" w:cs="仿宋_GB2312"/>
          <w:b/>
          <w:bCs/>
          <w:color w:val="000000" w:themeColor="text1"/>
          <w:sz w:val="32"/>
          <w:szCs w:val="32"/>
          <w14:textFill>
            <w14:solidFill>
              <w14:schemeClr w14:val="tx1"/>
            </w14:solidFill>
          </w14:textFill>
        </w:rPr>
        <w:sectPr>
          <w:pgSz w:w="11906" w:h="16838"/>
          <w:pgMar w:top="1418" w:right="1531" w:bottom="1418" w:left="1588" w:header="1701" w:footer="1701" w:gutter="0"/>
          <w:pgNumType w:start="1"/>
          <w:cols w:space="720" w:num="1"/>
          <w:docGrid w:type="linesAndChars" w:linePitch="634" w:charSpace="-1931"/>
        </w:sectPr>
      </w:pPr>
    </w:p>
    <w:p>
      <w:pPr>
        <w:spacing w:line="600" w:lineRule="exact"/>
        <w:jc w:val="center"/>
        <w:rPr>
          <w:rFonts w:ascii="黑体" w:hAnsi="黑体" w:eastAsia="黑体"/>
          <w:bCs/>
          <w:color w:val="000000" w:themeColor="text1"/>
          <w:sz w:val="44"/>
          <w:szCs w:val="44"/>
          <w14:textFill>
            <w14:solidFill>
              <w14:schemeClr w14:val="tx1"/>
            </w14:solidFill>
          </w14:textFill>
        </w:rPr>
      </w:pPr>
      <w:r>
        <w:rPr>
          <w:rFonts w:hint="eastAsia" w:ascii="黑体" w:hAnsi="黑体" w:eastAsia="黑体"/>
          <w:bCs/>
          <w:color w:val="000000" w:themeColor="text1"/>
          <w:sz w:val="44"/>
          <w:szCs w:val="44"/>
          <w14:textFill>
            <w14:solidFill>
              <w14:schemeClr w14:val="tx1"/>
            </w14:solidFill>
          </w14:textFill>
        </w:rPr>
        <w:t>目    录</w:t>
      </w:r>
    </w:p>
    <w:p>
      <w:pPr>
        <w:pStyle w:val="8"/>
        <w:tabs>
          <w:tab w:val="right" w:leader="dot" w:pos="8618"/>
          <w:tab w:val="clear" w:pos="980"/>
          <w:tab w:val="clear" w:pos="1260"/>
          <w:tab w:val="clear" w:pos="8260"/>
        </w:tabs>
        <w:snapToGrid w:val="0"/>
        <w:spacing w:beforeLines="0" w:line="380" w:lineRule="exact"/>
        <w:ind w:firstLine="281"/>
        <w:rPr>
          <w:color w:val="000000" w:themeColor="text1"/>
          <w:sz w:val="28"/>
          <w:szCs w:val="28"/>
          <w:lang w:eastAsia="zh-CN"/>
          <w14:textFill>
            <w14:solidFill>
              <w14:schemeClr w14:val="tx1"/>
            </w14:solidFill>
          </w14:textFill>
        </w:rPr>
      </w:pPr>
      <w:r>
        <w:rPr>
          <w:rFonts w:hint="eastAsia" w:ascii="仿宋_GB2312" w:hAnsi="仿宋_GB2312" w:cs="仿宋_GB2312"/>
          <w:b/>
          <w:bCs/>
          <w:color w:val="000000" w:themeColor="text1"/>
          <w:sz w:val="28"/>
          <w:szCs w:val="28"/>
          <w14:textFill>
            <w14:solidFill>
              <w14:schemeClr w14:val="tx1"/>
            </w14:solidFill>
          </w14:textFill>
        </w:rPr>
        <w:fldChar w:fldCharType="begin"/>
      </w:r>
      <w:r>
        <w:rPr>
          <w:rFonts w:hint="eastAsia" w:ascii="仿宋_GB2312" w:hAnsi="仿宋_GB2312" w:cs="仿宋_GB2312"/>
          <w:b/>
          <w:bCs/>
          <w:color w:val="000000" w:themeColor="text1"/>
          <w:sz w:val="28"/>
          <w:szCs w:val="28"/>
          <w14:textFill>
            <w14:solidFill>
              <w14:schemeClr w14:val="tx1"/>
            </w14:solidFill>
          </w14:textFill>
        </w:rPr>
        <w:instrText xml:space="preserve">TOC \o "1-3" \h \u </w:instrText>
      </w:r>
      <w:r>
        <w:rPr>
          <w:rFonts w:hint="eastAsia" w:ascii="仿宋_GB2312" w:hAnsi="仿宋_GB2312" w:cs="仿宋_GB2312"/>
          <w:b/>
          <w:bCs/>
          <w:color w:val="000000" w:themeColor="text1"/>
          <w:sz w:val="28"/>
          <w:szCs w:val="28"/>
          <w14:textFill>
            <w14:solidFill>
              <w14:schemeClr w14:val="tx1"/>
            </w14:solidFill>
          </w14:textFill>
        </w:rPr>
        <w:fldChar w:fldCharType="separate"/>
      </w:r>
      <w:r>
        <w:fldChar w:fldCharType="begin"/>
      </w:r>
      <w:r>
        <w:instrText xml:space="preserve"> HYPERLINK \l "_Toc4164" </w:instrText>
      </w:r>
      <w:r>
        <w:fldChar w:fldCharType="separate"/>
      </w:r>
      <w:r>
        <w:rPr>
          <w:rFonts w:hint="eastAsia" w:ascii="黑体" w:hAnsi="黑体" w:eastAsia="黑体" w:cs="黑体"/>
          <w:bCs/>
          <w:color w:val="000000" w:themeColor="text1"/>
          <w:sz w:val="28"/>
          <w:szCs w:val="28"/>
          <w:lang w:eastAsia="zh-CN"/>
          <w14:textFill>
            <w14:solidFill>
              <w14:schemeClr w14:val="tx1"/>
            </w14:solidFill>
          </w14:textFill>
        </w:rPr>
        <w:t>一、发展背景</w:t>
      </w:r>
      <w:r>
        <w:rPr>
          <w:rFonts w:hint="eastAsia" w:ascii="黑体" w:hAnsi="黑体" w:eastAsia="黑体" w:cs="黑体"/>
          <w:bCs/>
          <w:color w:val="000000" w:themeColor="text1"/>
          <w:sz w:val="28"/>
          <w:szCs w:val="28"/>
          <w:lang w:eastAsia="zh-CN"/>
          <w14:textFill>
            <w14:solidFill>
              <w14:schemeClr w14:val="tx1"/>
            </w14:solidFill>
          </w14:textFill>
        </w:rPr>
        <w:fldChar w:fldCharType="end"/>
      </w:r>
    </w:p>
    <w:p>
      <w:pPr>
        <w:pStyle w:val="10"/>
        <w:tabs>
          <w:tab w:val="right" w:leader="dot" w:pos="8618"/>
          <w:tab w:val="clear" w:pos="1456"/>
          <w:tab w:val="clear" w:pos="8260"/>
        </w:tabs>
        <w:snapToGrid w:val="0"/>
        <w:spacing w:line="380" w:lineRule="exact"/>
        <w:ind w:left="210" w:firstLine="220"/>
        <w:rPr>
          <w:rFonts w:ascii="仿宋_GB2312" w:eastAsia="仿宋_GB2312"/>
          <w:color w:val="000000" w:themeColor="text1"/>
          <w:sz w:val="28"/>
          <w:szCs w:val="28"/>
          <w:lang w:eastAsia="zh-CN"/>
          <w14:textFill>
            <w14:solidFill>
              <w14:schemeClr w14:val="tx1"/>
            </w14:solidFill>
          </w14:textFill>
        </w:rPr>
      </w:pPr>
      <w:r>
        <w:fldChar w:fldCharType="begin"/>
      </w:r>
      <w:r>
        <w:instrText xml:space="preserve"> HYPERLINK \l "_Toc3061" </w:instrText>
      </w:r>
      <w:r>
        <w:fldChar w:fldCharType="separate"/>
      </w:r>
      <w:r>
        <w:rPr>
          <w:rFonts w:hint="eastAsia" w:ascii="仿宋_GB2312" w:eastAsia="仿宋_GB2312"/>
          <w:color w:val="000000" w:themeColor="text1"/>
          <w:sz w:val="28"/>
          <w:szCs w:val="28"/>
          <w:lang w:eastAsia="zh-CN"/>
          <w14:textFill>
            <w14:solidFill>
              <w14:schemeClr w14:val="tx1"/>
            </w14:solidFill>
          </w14:textFill>
        </w:rPr>
        <w:t>（一）基本情况</w:t>
      </w:r>
      <w:r>
        <w:rPr>
          <w:rFonts w:hint="eastAsia" w:ascii="仿宋_GB2312" w:eastAsia="仿宋_GB2312"/>
          <w:color w:val="000000" w:themeColor="text1"/>
          <w:sz w:val="28"/>
          <w:szCs w:val="28"/>
          <w:lang w:eastAsia="zh-CN"/>
          <w14:textFill>
            <w14:solidFill>
              <w14:schemeClr w14:val="tx1"/>
            </w14:solidFill>
          </w14:textFill>
        </w:rPr>
        <w:tab/>
      </w:r>
      <w:r>
        <w:rPr>
          <w:rFonts w:hint="eastAsia" w:ascii="仿宋_GB2312" w:eastAsia="仿宋_GB2312"/>
          <w:color w:val="000000" w:themeColor="text1"/>
          <w:sz w:val="28"/>
          <w:szCs w:val="28"/>
          <w:lang w:eastAsia="zh-CN"/>
          <w14:textFill>
            <w14:solidFill>
              <w14:schemeClr w14:val="tx1"/>
            </w14:solidFill>
          </w14:textFill>
        </w:rPr>
        <w:fldChar w:fldCharType="end"/>
      </w:r>
      <w:r>
        <w:rPr>
          <w:rFonts w:hint="eastAsia" w:ascii="仿宋_GB2312" w:eastAsia="仿宋_GB2312"/>
          <w:color w:val="000000" w:themeColor="text1"/>
          <w:sz w:val="28"/>
          <w:szCs w:val="28"/>
          <w:lang w:eastAsia="zh-CN"/>
          <w14:textFill>
            <w14:solidFill>
              <w14:schemeClr w14:val="tx1"/>
            </w14:solidFill>
          </w14:textFill>
        </w:rPr>
        <w:t>1</w:t>
      </w:r>
    </w:p>
    <w:p>
      <w:pPr>
        <w:pStyle w:val="10"/>
        <w:tabs>
          <w:tab w:val="right" w:leader="dot" w:pos="8618"/>
          <w:tab w:val="clear" w:pos="1456"/>
          <w:tab w:val="clear" w:pos="8260"/>
        </w:tabs>
        <w:snapToGrid w:val="0"/>
        <w:spacing w:line="380" w:lineRule="exact"/>
        <w:ind w:left="210" w:firstLine="220"/>
        <w:rPr>
          <w:rFonts w:ascii="仿宋_GB2312" w:eastAsia="仿宋_GB2312"/>
          <w:color w:val="000000" w:themeColor="text1"/>
          <w:sz w:val="28"/>
          <w:szCs w:val="28"/>
          <w:lang w:eastAsia="zh-CN"/>
          <w14:textFill>
            <w14:solidFill>
              <w14:schemeClr w14:val="tx1"/>
            </w14:solidFill>
          </w14:textFill>
        </w:rPr>
      </w:pPr>
      <w:r>
        <w:fldChar w:fldCharType="begin"/>
      </w:r>
      <w:r>
        <w:instrText xml:space="preserve"> HYPERLINK \l "_Toc6223" </w:instrText>
      </w:r>
      <w:r>
        <w:fldChar w:fldCharType="separate"/>
      </w:r>
      <w:r>
        <w:rPr>
          <w:rFonts w:hint="eastAsia" w:ascii="仿宋_GB2312" w:hAnsi="楷体_GB2312" w:eastAsia="仿宋_GB2312" w:cs="楷体_GB2312"/>
          <w:color w:val="000000" w:themeColor="text1"/>
          <w:sz w:val="28"/>
          <w:szCs w:val="28"/>
          <w:lang w:eastAsia="zh-CN"/>
          <w14:textFill>
            <w14:solidFill>
              <w14:schemeClr w14:val="tx1"/>
            </w14:solidFill>
          </w14:textFill>
        </w:rPr>
        <w:t>（二）发展基础</w:t>
      </w:r>
      <w:r>
        <w:rPr>
          <w:rFonts w:hint="eastAsia" w:ascii="仿宋_GB2312" w:eastAsia="仿宋_GB2312"/>
          <w:color w:val="000000" w:themeColor="text1"/>
          <w:sz w:val="28"/>
          <w:szCs w:val="28"/>
          <w:lang w:eastAsia="zh-CN"/>
          <w14:textFill>
            <w14:solidFill>
              <w14:schemeClr w14:val="tx1"/>
            </w14:solidFill>
          </w14:textFill>
        </w:rPr>
        <w:tab/>
      </w:r>
      <w:r>
        <w:rPr>
          <w:rFonts w:hint="eastAsia" w:ascii="仿宋_GB2312" w:eastAsia="仿宋_GB2312"/>
          <w:color w:val="000000" w:themeColor="text1"/>
          <w:sz w:val="28"/>
          <w:szCs w:val="28"/>
          <w:lang w:eastAsia="zh-CN"/>
          <w14:textFill>
            <w14:solidFill>
              <w14:schemeClr w14:val="tx1"/>
            </w14:solidFill>
          </w14:textFill>
        </w:rPr>
        <w:fldChar w:fldCharType="end"/>
      </w:r>
      <w:r>
        <w:rPr>
          <w:rFonts w:hint="eastAsia" w:ascii="仿宋_GB2312" w:eastAsia="仿宋_GB2312"/>
          <w:color w:val="000000" w:themeColor="text1"/>
          <w:sz w:val="28"/>
          <w:szCs w:val="28"/>
          <w:lang w:eastAsia="zh-CN"/>
          <w14:textFill>
            <w14:solidFill>
              <w14:schemeClr w14:val="tx1"/>
            </w14:solidFill>
          </w14:textFill>
        </w:rPr>
        <w:t>2</w:t>
      </w:r>
    </w:p>
    <w:p>
      <w:pPr>
        <w:pStyle w:val="10"/>
        <w:tabs>
          <w:tab w:val="right" w:leader="dot" w:pos="8618"/>
          <w:tab w:val="clear" w:pos="1456"/>
          <w:tab w:val="clear" w:pos="8260"/>
        </w:tabs>
        <w:snapToGrid w:val="0"/>
        <w:spacing w:line="380" w:lineRule="exact"/>
        <w:ind w:left="210" w:firstLine="220"/>
        <w:rPr>
          <w:rFonts w:ascii="仿宋_GB2312" w:eastAsia="仿宋_GB2312"/>
          <w:color w:val="000000" w:themeColor="text1"/>
          <w:sz w:val="28"/>
          <w:szCs w:val="28"/>
          <w:lang w:eastAsia="zh-CN"/>
          <w14:textFill>
            <w14:solidFill>
              <w14:schemeClr w14:val="tx1"/>
            </w14:solidFill>
          </w14:textFill>
        </w:rPr>
      </w:pPr>
      <w:r>
        <w:fldChar w:fldCharType="begin"/>
      </w:r>
      <w:r>
        <w:instrText xml:space="preserve"> HYPERLINK \l "_Toc20845" </w:instrText>
      </w:r>
      <w:r>
        <w:fldChar w:fldCharType="separate"/>
      </w:r>
      <w:r>
        <w:rPr>
          <w:rFonts w:hint="eastAsia" w:ascii="仿宋_GB2312" w:hAnsi="楷体_GB2312" w:eastAsia="仿宋_GB2312" w:cs="楷体_GB2312"/>
          <w:color w:val="000000" w:themeColor="text1"/>
          <w:sz w:val="28"/>
          <w:szCs w:val="28"/>
          <w:lang w:eastAsia="zh-CN"/>
          <w14:textFill>
            <w14:solidFill>
              <w14:schemeClr w14:val="tx1"/>
            </w14:solidFill>
          </w14:textFill>
        </w:rPr>
        <w:t>（三）面临形势</w:t>
      </w:r>
      <w:r>
        <w:rPr>
          <w:rFonts w:hint="eastAsia" w:ascii="仿宋_GB2312" w:eastAsia="仿宋_GB2312"/>
          <w:color w:val="000000" w:themeColor="text1"/>
          <w:sz w:val="28"/>
          <w:szCs w:val="28"/>
          <w:lang w:eastAsia="zh-CN"/>
          <w14:textFill>
            <w14:solidFill>
              <w14:schemeClr w14:val="tx1"/>
            </w14:solidFill>
          </w14:textFill>
        </w:rPr>
        <w:tab/>
      </w:r>
      <w:r>
        <w:rPr>
          <w:rFonts w:hint="eastAsia" w:ascii="仿宋_GB2312" w:eastAsia="仿宋_GB2312"/>
          <w:color w:val="000000" w:themeColor="text1"/>
          <w:sz w:val="28"/>
          <w:szCs w:val="28"/>
          <w:lang w:eastAsia="zh-CN"/>
          <w14:textFill>
            <w14:solidFill>
              <w14:schemeClr w14:val="tx1"/>
            </w14:solidFill>
          </w14:textFill>
        </w:rPr>
        <w:fldChar w:fldCharType="end"/>
      </w:r>
      <w:r>
        <w:rPr>
          <w:rFonts w:hint="eastAsia" w:ascii="仿宋_GB2312" w:eastAsia="仿宋_GB2312"/>
          <w:color w:val="000000" w:themeColor="text1"/>
          <w:sz w:val="28"/>
          <w:szCs w:val="28"/>
          <w:lang w:eastAsia="zh-CN"/>
          <w14:textFill>
            <w14:solidFill>
              <w14:schemeClr w14:val="tx1"/>
            </w14:solidFill>
          </w14:textFill>
        </w:rPr>
        <w:t>4</w:t>
      </w:r>
    </w:p>
    <w:p>
      <w:pPr>
        <w:pStyle w:val="8"/>
        <w:tabs>
          <w:tab w:val="right" w:leader="dot" w:pos="8618"/>
          <w:tab w:val="clear" w:pos="980"/>
          <w:tab w:val="clear" w:pos="1260"/>
          <w:tab w:val="clear" w:pos="8260"/>
        </w:tabs>
        <w:snapToGrid w:val="0"/>
        <w:spacing w:beforeLines="0" w:line="380" w:lineRule="exact"/>
        <w:rPr>
          <w:color w:val="000000" w:themeColor="text1"/>
          <w:sz w:val="28"/>
          <w:szCs w:val="28"/>
          <w:lang w:eastAsia="zh-CN"/>
          <w14:textFill>
            <w14:solidFill>
              <w14:schemeClr w14:val="tx1"/>
            </w14:solidFill>
          </w14:textFill>
        </w:rPr>
      </w:pPr>
      <w:r>
        <w:fldChar w:fldCharType="begin"/>
      </w:r>
      <w:r>
        <w:instrText xml:space="preserve"> HYPERLINK \l "_Toc13892" </w:instrText>
      </w:r>
      <w:r>
        <w:fldChar w:fldCharType="separate"/>
      </w:r>
      <w:r>
        <w:rPr>
          <w:rFonts w:hint="eastAsia" w:ascii="黑体" w:hAnsi="黑体" w:eastAsia="黑体" w:cs="黑体"/>
          <w:bCs/>
          <w:color w:val="000000" w:themeColor="text1"/>
          <w:sz w:val="28"/>
          <w:szCs w:val="28"/>
          <w:lang w:eastAsia="zh-CN"/>
          <w14:textFill>
            <w14:solidFill>
              <w14:schemeClr w14:val="tx1"/>
            </w14:solidFill>
          </w14:textFill>
        </w:rPr>
        <w:t>二、总体思路</w:t>
      </w:r>
      <w:r>
        <w:rPr>
          <w:rFonts w:hint="eastAsia" w:ascii="黑体" w:hAnsi="黑体" w:eastAsia="黑体" w:cs="黑体"/>
          <w:bCs/>
          <w:color w:val="000000" w:themeColor="text1"/>
          <w:sz w:val="28"/>
          <w:szCs w:val="28"/>
          <w:lang w:eastAsia="zh-CN"/>
          <w14:textFill>
            <w14:solidFill>
              <w14:schemeClr w14:val="tx1"/>
            </w14:solidFill>
          </w14:textFill>
        </w:rPr>
        <w:fldChar w:fldCharType="end"/>
      </w:r>
    </w:p>
    <w:p>
      <w:pPr>
        <w:pStyle w:val="10"/>
        <w:tabs>
          <w:tab w:val="right" w:leader="dot" w:pos="8618"/>
          <w:tab w:val="clear" w:pos="1456"/>
          <w:tab w:val="clear" w:pos="8260"/>
        </w:tabs>
        <w:snapToGrid w:val="0"/>
        <w:spacing w:line="380" w:lineRule="exact"/>
        <w:ind w:left="210" w:firstLine="220"/>
        <w:rPr>
          <w:rFonts w:ascii="仿宋_GB2312" w:eastAsia="仿宋_GB2312"/>
          <w:color w:val="000000" w:themeColor="text1"/>
          <w:sz w:val="28"/>
          <w:szCs w:val="28"/>
          <w:lang w:eastAsia="zh-CN"/>
          <w14:textFill>
            <w14:solidFill>
              <w14:schemeClr w14:val="tx1"/>
            </w14:solidFill>
          </w14:textFill>
        </w:rPr>
      </w:pPr>
      <w:r>
        <w:fldChar w:fldCharType="begin"/>
      </w:r>
      <w:r>
        <w:instrText xml:space="preserve"> HYPERLINK \l "_Toc5921" </w:instrText>
      </w:r>
      <w:r>
        <w:fldChar w:fldCharType="separate"/>
      </w:r>
      <w:r>
        <w:rPr>
          <w:rFonts w:hint="eastAsia" w:ascii="仿宋_GB2312" w:hAnsi="楷体_GB2312" w:eastAsia="仿宋_GB2312" w:cs="楷体_GB2312"/>
          <w:color w:val="000000" w:themeColor="text1"/>
          <w:sz w:val="28"/>
          <w:szCs w:val="28"/>
          <w:lang w:eastAsia="zh-CN"/>
          <w14:textFill>
            <w14:solidFill>
              <w14:schemeClr w14:val="tx1"/>
            </w14:solidFill>
          </w14:textFill>
        </w:rPr>
        <w:t>（一）指导思想</w:t>
      </w:r>
      <w:r>
        <w:rPr>
          <w:rFonts w:hint="eastAsia" w:ascii="仿宋_GB2312" w:eastAsia="仿宋_GB2312"/>
          <w:color w:val="000000" w:themeColor="text1"/>
          <w:sz w:val="28"/>
          <w:szCs w:val="28"/>
          <w:lang w:eastAsia="zh-CN"/>
          <w14:textFill>
            <w14:solidFill>
              <w14:schemeClr w14:val="tx1"/>
            </w14:solidFill>
          </w14:textFill>
        </w:rPr>
        <w:tab/>
      </w:r>
      <w:r>
        <w:rPr>
          <w:rFonts w:hint="eastAsia" w:ascii="仿宋_GB2312" w:eastAsia="仿宋_GB2312"/>
          <w:color w:val="000000" w:themeColor="text1"/>
          <w:sz w:val="28"/>
          <w:szCs w:val="28"/>
          <w:lang w:eastAsia="zh-CN"/>
          <w14:textFill>
            <w14:solidFill>
              <w14:schemeClr w14:val="tx1"/>
            </w14:solidFill>
          </w14:textFill>
        </w:rPr>
        <w:fldChar w:fldCharType="end"/>
      </w:r>
      <w:r>
        <w:rPr>
          <w:rFonts w:hint="eastAsia" w:ascii="仿宋_GB2312" w:eastAsia="仿宋_GB2312"/>
          <w:color w:val="000000" w:themeColor="text1"/>
          <w:sz w:val="28"/>
          <w:szCs w:val="28"/>
          <w:lang w:eastAsia="zh-CN"/>
          <w14:textFill>
            <w14:solidFill>
              <w14:schemeClr w14:val="tx1"/>
            </w14:solidFill>
          </w14:textFill>
        </w:rPr>
        <w:t>6</w:t>
      </w:r>
    </w:p>
    <w:p>
      <w:pPr>
        <w:pStyle w:val="10"/>
        <w:tabs>
          <w:tab w:val="right" w:leader="dot" w:pos="8618"/>
          <w:tab w:val="clear" w:pos="1456"/>
          <w:tab w:val="clear" w:pos="8260"/>
        </w:tabs>
        <w:snapToGrid w:val="0"/>
        <w:spacing w:line="380" w:lineRule="exact"/>
        <w:ind w:left="210" w:firstLine="220"/>
        <w:rPr>
          <w:rFonts w:ascii="仿宋_GB2312" w:eastAsia="仿宋_GB2312"/>
          <w:color w:val="000000" w:themeColor="text1"/>
          <w:sz w:val="28"/>
          <w:szCs w:val="28"/>
          <w:lang w:eastAsia="zh-CN"/>
          <w14:textFill>
            <w14:solidFill>
              <w14:schemeClr w14:val="tx1"/>
            </w14:solidFill>
          </w14:textFill>
        </w:rPr>
      </w:pPr>
      <w:r>
        <w:fldChar w:fldCharType="begin"/>
      </w:r>
      <w:r>
        <w:instrText xml:space="preserve"> HYPERLINK \l "_Toc18066" </w:instrText>
      </w:r>
      <w:r>
        <w:fldChar w:fldCharType="separate"/>
      </w:r>
      <w:r>
        <w:rPr>
          <w:rFonts w:hint="eastAsia" w:ascii="仿宋_GB2312" w:hAnsi="楷体_GB2312" w:eastAsia="仿宋_GB2312" w:cs="楷体_GB2312"/>
          <w:color w:val="000000" w:themeColor="text1"/>
          <w:sz w:val="28"/>
          <w:szCs w:val="28"/>
          <w:lang w:eastAsia="zh-CN"/>
          <w14:textFill>
            <w14:solidFill>
              <w14:schemeClr w14:val="tx1"/>
            </w14:solidFill>
          </w14:textFill>
        </w:rPr>
        <w:t>（二）基本原则</w:t>
      </w:r>
      <w:r>
        <w:rPr>
          <w:rFonts w:hint="eastAsia" w:ascii="仿宋_GB2312" w:eastAsia="仿宋_GB2312"/>
          <w:color w:val="000000" w:themeColor="text1"/>
          <w:sz w:val="28"/>
          <w:szCs w:val="28"/>
          <w:lang w:eastAsia="zh-CN"/>
          <w14:textFill>
            <w14:solidFill>
              <w14:schemeClr w14:val="tx1"/>
            </w14:solidFill>
          </w14:textFill>
        </w:rPr>
        <w:tab/>
      </w:r>
      <w:r>
        <w:rPr>
          <w:rFonts w:hint="eastAsia" w:ascii="仿宋_GB2312" w:eastAsia="仿宋_GB2312"/>
          <w:color w:val="000000" w:themeColor="text1"/>
          <w:sz w:val="28"/>
          <w:szCs w:val="28"/>
          <w:lang w:eastAsia="zh-CN"/>
          <w14:textFill>
            <w14:solidFill>
              <w14:schemeClr w14:val="tx1"/>
            </w14:solidFill>
          </w14:textFill>
        </w:rPr>
        <w:fldChar w:fldCharType="end"/>
      </w:r>
      <w:r>
        <w:rPr>
          <w:rFonts w:hint="eastAsia" w:ascii="仿宋_GB2312" w:eastAsia="仿宋_GB2312"/>
          <w:color w:val="000000" w:themeColor="text1"/>
          <w:sz w:val="28"/>
          <w:szCs w:val="28"/>
          <w:lang w:eastAsia="zh-CN"/>
          <w14:textFill>
            <w14:solidFill>
              <w14:schemeClr w14:val="tx1"/>
            </w14:solidFill>
          </w14:textFill>
        </w:rPr>
        <w:t>6</w:t>
      </w:r>
    </w:p>
    <w:p>
      <w:pPr>
        <w:pStyle w:val="10"/>
        <w:tabs>
          <w:tab w:val="right" w:leader="dot" w:pos="8618"/>
          <w:tab w:val="clear" w:pos="1456"/>
          <w:tab w:val="clear" w:pos="8260"/>
        </w:tabs>
        <w:snapToGrid w:val="0"/>
        <w:spacing w:line="380" w:lineRule="exact"/>
        <w:ind w:left="210" w:firstLine="220"/>
        <w:rPr>
          <w:rFonts w:ascii="仿宋_GB2312" w:eastAsia="仿宋_GB2312"/>
          <w:color w:val="000000" w:themeColor="text1"/>
          <w:sz w:val="28"/>
          <w:szCs w:val="28"/>
          <w:lang w:eastAsia="zh-CN"/>
          <w14:textFill>
            <w14:solidFill>
              <w14:schemeClr w14:val="tx1"/>
            </w14:solidFill>
          </w14:textFill>
        </w:rPr>
      </w:pPr>
      <w:r>
        <w:fldChar w:fldCharType="begin"/>
      </w:r>
      <w:r>
        <w:instrText xml:space="preserve"> HYPERLINK \l "_Toc403" </w:instrText>
      </w:r>
      <w:r>
        <w:fldChar w:fldCharType="separate"/>
      </w:r>
      <w:r>
        <w:rPr>
          <w:rFonts w:hint="eastAsia" w:ascii="仿宋_GB2312" w:hAnsi="楷体_GB2312" w:eastAsia="仿宋_GB2312" w:cs="楷体_GB2312"/>
          <w:color w:val="000000" w:themeColor="text1"/>
          <w:sz w:val="28"/>
          <w:szCs w:val="28"/>
          <w:lang w:eastAsia="zh-CN"/>
          <w14:textFill>
            <w14:solidFill>
              <w14:schemeClr w14:val="tx1"/>
            </w14:solidFill>
          </w14:textFill>
        </w:rPr>
        <w:t>（三）发展目标</w:t>
      </w:r>
      <w:r>
        <w:rPr>
          <w:rFonts w:hint="eastAsia" w:ascii="仿宋_GB2312" w:eastAsia="仿宋_GB2312"/>
          <w:color w:val="000000" w:themeColor="text1"/>
          <w:sz w:val="28"/>
          <w:szCs w:val="28"/>
          <w:lang w:eastAsia="zh-CN"/>
          <w14:textFill>
            <w14:solidFill>
              <w14:schemeClr w14:val="tx1"/>
            </w14:solidFill>
          </w14:textFill>
        </w:rPr>
        <w:tab/>
      </w:r>
      <w:r>
        <w:rPr>
          <w:rFonts w:hint="eastAsia" w:ascii="仿宋_GB2312" w:eastAsia="仿宋_GB2312"/>
          <w:color w:val="000000" w:themeColor="text1"/>
          <w:sz w:val="28"/>
          <w:szCs w:val="28"/>
          <w:lang w:eastAsia="zh-CN"/>
          <w14:textFill>
            <w14:solidFill>
              <w14:schemeClr w14:val="tx1"/>
            </w14:solidFill>
          </w14:textFill>
        </w:rPr>
        <w:fldChar w:fldCharType="end"/>
      </w:r>
      <w:r>
        <w:rPr>
          <w:rFonts w:hint="eastAsia" w:ascii="仿宋_GB2312" w:eastAsia="仿宋_GB2312"/>
          <w:color w:val="000000" w:themeColor="text1"/>
          <w:sz w:val="28"/>
          <w:szCs w:val="28"/>
          <w:lang w:eastAsia="zh-CN"/>
          <w14:textFill>
            <w14:solidFill>
              <w14:schemeClr w14:val="tx1"/>
            </w14:solidFill>
          </w14:textFill>
        </w:rPr>
        <w:t>7</w:t>
      </w:r>
    </w:p>
    <w:p>
      <w:pPr>
        <w:pStyle w:val="8"/>
        <w:tabs>
          <w:tab w:val="right" w:leader="dot" w:pos="8618"/>
          <w:tab w:val="clear" w:pos="980"/>
          <w:tab w:val="clear" w:pos="1260"/>
          <w:tab w:val="clear" w:pos="8260"/>
        </w:tabs>
        <w:snapToGrid w:val="0"/>
        <w:spacing w:beforeLines="0" w:line="380" w:lineRule="exact"/>
        <w:rPr>
          <w:color w:val="000000" w:themeColor="text1"/>
          <w:sz w:val="28"/>
          <w:szCs w:val="28"/>
          <w:lang w:eastAsia="zh-CN"/>
          <w14:textFill>
            <w14:solidFill>
              <w14:schemeClr w14:val="tx1"/>
            </w14:solidFill>
          </w14:textFill>
        </w:rPr>
      </w:pPr>
      <w:r>
        <w:fldChar w:fldCharType="begin"/>
      </w:r>
      <w:r>
        <w:instrText xml:space="preserve"> HYPERLINK \l "_Toc30273" </w:instrText>
      </w:r>
      <w:r>
        <w:fldChar w:fldCharType="separate"/>
      </w:r>
      <w:r>
        <w:rPr>
          <w:rFonts w:hint="eastAsia" w:ascii="黑体" w:hAnsi="黑体" w:eastAsia="黑体" w:cs="黑体"/>
          <w:bCs/>
          <w:color w:val="000000" w:themeColor="text1"/>
          <w:sz w:val="28"/>
          <w:szCs w:val="28"/>
          <w:lang w:eastAsia="zh-CN"/>
          <w14:textFill>
            <w14:solidFill>
              <w14:schemeClr w14:val="tx1"/>
            </w14:solidFill>
          </w14:textFill>
        </w:rPr>
        <w:t>三、主要任务</w:t>
      </w:r>
      <w:r>
        <w:rPr>
          <w:rFonts w:hint="eastAsia" w:ascii="黑体" w:hAnsi="黑体" w:eastAsia="黑体" w:cs="黑体"/>
          <w:bCs/>
          <w:color w:val="000000" w:themeColor="text1"/>
          <w:sz w:val="28"/>
          <w:szCs w:val="28"/>
          <w:lang w:eastAsia="zh-CN"/>
          <w14:textFill>
            <w14:solidFill>
              <w14:schemeClr w14:val="tx1"/>
            </w14:solidFill>
          </w14:textFill>
        </w:rPr>
        <w:fldChar w:fldCharType="end"/>
      </w:r>
    </w:p>
    <w:p>
      <w:pPr>
        <w:pStyle w:val="10"/>
        <w:tabs>
          <w:tab w:val="right" w:leader="dot" w:pos="8618"/>
          <w:tab w:val="clear" w:pos="1456"/>
          <w:tab w:val="clear" w:pos="8260"/>
        </w:tabs>
        <w:snapToGrid w:val="0"/>
        <w:spacing w:line="380" w:lineRule="exact"/>
        <w:ind w:left="210" w:firstLine="220"/>
        <w:rPr>
          <w:rFonts w:ascii="仿宋_GB2312" w:eastAsia="仿宋_GB2312"/>
          <w:color w:val="000000" w:themeColor="text1"/>
          <w:sz w:val="28"/>
          <w:szCs w:val="28"/>
          <w:lang w:eastAsia="zh-CN"/>
          <w14:textFill>
            <w14:solidFill>
              <w14:schemeClr w14:val="tx1"/>
            </w14:solidFill>
          </w14:textFill>
        </w:rPr>
      </w:pPr>
      <w:r>
        <w:fldChar w:fldCharType="begin"/>
      </w:r>
      <w:r>
        <w:instrText xml:space="preserve"> HYPERLINK \l "_Toc25106" </w:instrText>
      </w:r>
      <w:r>
        <w:fldChar w:fldCharType="separate"/>
      </w:r>
      <w:r>
        <w:rPr>
          <w:rFonts w:hint="eastAsia" w:ascii="仿宋_GB2312" w:hAnsi="楷体_GB2312" w:eastAsia="仿宋_GB2312" w:cs="楷体_GB2312"/>
          <w:color w:val="000000" w:themeColor="text1"/>
          <w:sz w:val="28"/>
          <w:szCs w:val="28"/>
          <w:lang w:eastAsia="zh-CN"/>
          <w14:textFill>
            <w14:solidFill>
              <w14:schemeClr w14:val="tx1"/>
            </w14:solidFill>
          </w14:textFill>
        </w:rPr>
        <w:t>（一）青年思想政治引领</w:t>
      </w:r>
      <w:r>
        <w:rPr>
          <w:rFonts w:hint="eastAsia" w:ascii="仿宋_GB2312" w:eastAsia="仿宋_GB2312"/>
          <w:color w:val="000000" w:themeColor="text1"/>
          <w:sz w:val="28"/>
          <w:szCs w:val="28"/>
          <w:lang w:eastAsia="zh-CN"/>
          <w14:textFill>
            <w14:solidFill>
              <w14:schemeClr w14:val="tx1"/>
            </w14:solidFill>
          </w14:textFill>
        </w:rPr>
        <w:tab/>
      </w:r>
      <w:r>
        <w:rPr>
          <w:rFonts w:hint="eastAsia" w:ascii="仿宋_GB2312" w:eastAsia="仿宋_GB2312"/>
          <w:color w:val="000000" w:themeColor="text1"/>
          <w:sz w:val="28"/>
          <w:szCs w:val="28"/>
          <w:lang w:eastAsia="zh-CN"/>
          <w14:textFill>
            <w14:solidFill>
              <w14:schemeClr w14:val="tx1"/>
            </w14:solidFill>
          </w14:textFill>
        </w:rPr>
        <w:fldChar w:fldCharType="end"/>
      </w:r>
      <w:r>
        <w:rPr>
          <w:rFonts w:hint="eastAsia" w:ascii="仿宋_GB2312" w:eastAsia="仿宋_GB2312"/>
          <w:color w:val="000000" w:themeColor="text1"/>
          <w:sz w:val="28"/>
          <w:szCs w:val="28"/>
          <w:lang w:eastAsia="zh-CN"/>
          <w14:textFill>
            <w14:solidFill>
              <w14:schemeClr w14:val="tx1"/>
            </w14:solidFill>
          </w14:textFill>
        </w:rPr>
        <w:t>7</w:t>
      </w:r>
    </w:p>
    <w:p>
      <w:pPr>
        <w:pStyle w:val="10"/>
        <w:tabs>
          <w:tab w:val="right" w:leader="dot" w:pos="8618"/>
          <w:tab w:val="clear" w:pos="1456"/>
          <w:tab w:val="clear" w:pos="8260"/>
        </w:tabs>
        <w:snapToGrid w:val="0"/>
        <w:spacing w:line="380" w:lineRule="exact"/>
        <w:ind w:left="210" w:firstLine="220"/>
        <w:rPr>
          <w:rFonts w:ascii="仿宋_GB2312" w:eastAsia="仿宋_GB2312"/>
          <w:color w:val="000000" w:themeColor="text1"/>
          <w:sz w:val="28"/>
          <w:szCs w:val="28"/>
          <w:lang w:eastAsia="zh-CN"/>
          <w14:textFill>
            <w14:solidFill>
              <w14:schemeClr w14:val="tx1"/>
            </w14:solidFill>
          </w14:textFill>
        </w:rPr>
      </w:pPr>
      <w:r>
        <w:fldChar w:fldCharType="begin"/>
      </w:r>
      <w:r>
        <w:instrText xml:space="preserve"> HYPERLINK \l "_Toc20545" </w:instrText>
      </w:r>
      <w:r>
        <w:fldChar w:fldCharType="separate"/>
      </w:r>
      <w:r>
        <w:rPr>
          <w:rFonts w:hint="eastAsia" w:ascii="仿宋_GB2312" w:hAnsi="楷体_GB2312" w:eastAsia="仿宋_GB2312" w:cs="楷体_GB2312"/>
          <w:color w:val="000000" w:themeColor="text1"/>
          <w:sz w:val="28"/>
          <w:szCs w:val="28"/>
          <w:lang w:eastAsia="zh-CN"/>
          <w14:textFill>
            <w14:solidFill>
              <w14:schemeClr w14:val="tx1"/>
            </w14:solidFill>
          </w14:textFill>
        </w:rPr>
        <w:t>（二）青年教育</w:t>
      </w:r>
      <w:r>
        <w:rPr>
          <w:rFonts w:hint="eastAsia" w:ascii="仿宋_GB2312" w:eastAsia="仿宋_GB2312"/>
          <w:color w:val="000000" w:themeColor="text1"/>
          <w:sz w:val="28"/>
          <w:szCs w:val="28"/>
          <w:lang w:eastAsia="zh-CN"/>
          <w14:textFill>
            <w14:solidFill>
              <w14:schemeClr w14:val="tx1"/>
            </w14:solidFill>
          </w14:textFill>
        </w:rPr>
        <w:tab/>
      </w:r>
      <w:r>
        <w:rPr>
          <w:rFonts w:hint="eastAsia" w:ascii="仿宋_GB2312" w:eastAsia="仿宋_GB2312"/>
          <w:color w:val="000000" w:themeColor="text1"/>
          <w:sz w:val="28"/>
          <w:szCs w:val="28"/>
          <w:lang w:eastAsia="zh-CN"/>
          <w14:textFill>
            <w14:solidFill>
              <w14:schemeClr w14:val="tx1"/>
            </w14:solidFill>
          </w14:textFill>
        </w:rPr>
        <w:fldChar w:fldCharType="end"/>
      </w:r>
      <w:r>
        <w:rPr>
          <w:rFonts w:hint="eastAsia" w:ascii="仿宋_GB2312" w:eastAsia="仿宋_GB2312"/>
          <w:color w:val="000000" w:themeColor="text1"/>
          <w:sz w:val="28"/>
          <w:szCs w:val="28"/>
          <w:lang w:eastAsia="zh-CN"/>
          <w14:textFill>
            <w14:solidFill>
              <w14:schemeClr w14:val="tx1"/>
            </w14:solidFill>
          </w14:textFill>
        </w:rPr>
        <w:t>9</w:t>
      </w:r>
    </w:p>
    <w:p>
      <w:pPr>
        <w:pStyle w:val="10"/>
        <w:tabs>
          <w:tab w:val="right" w:leader="dot" w:pos="8618"/>
          <w:tab w:val="clear" w:pos="1456"/>
          <w:tab w:val="clear" w:pos="8260"/>
        </w:tabs>
        <w:snapToGrid w:val="0"/>
        <w:spacing w:line="380" w:lineRule="exact"/>
        <w:ind w:left="210" w:firstLine="220"/>
        <w:rPr>
          <w:rFonts w:ascii="仿宋_GB2312" w:eastAsia="仿宋_GB2312"/>
          <w:color w:val="000000" w:themeColor="text1"/>
          <w:sz w:val="28"/>
          <w:szCs w:val="28"/>
          <w:lang w:eastAsia="zh-CN"/>
          <w14:textFill>
            <w14:solidFill>
              <w14:schemeClr w14:val="tx1"/>
            </w14:solidFill>
          </w14:textFill>
        </w:rPr>
      </w:pPr>
      <w:r>
        <w:fldChar w:fldCharType="begin"/>
      </w:r>
      <w:r>
        <w:instrText xml:space="preserve"> HYPERLINK \l "_Toc830" </w:instrText>
      </w:r>
      <w:r>
        <w:fldChar w:fldCharType="separate"/>
      </w:r>
      <w:r>
        <w:rPr>
          <w:rFonts w:hint="eastAsia" w:ascii="仿宋_GB2312" w:hAnsi="楷体_GB2312" w:eastAsia="仿宋_GB2312" w:cs="楷体_GB2312"/>
          <w:color w:val="000000" w:themeColor="text1"/>
          <w:sz w:val="28"/>
          <w:szCs w:val="28"/>
          <w:lang w:eastAsia="zh-CN"/>
          <w14:textFill>
            <w14:solidFill>
              <w14:schemeClr w14:val="tx1"/>
            </w14:solidFill>
          </w14:textFill>
        </w:rPr>
        <w:t>（三）青年健康</w:t>
      </w:r>
      <w:r>
        <w:rPr>
          <w:rFonts w:hint="eastAsia" w:ascii="仿宋_GB2312" w:eastAsia="仿宋_GB2312"/>
          <w:color w:val="000000" w:themeColor="text1"/>
          <w:sz w:val="28"/>
          <w:szCs w:val="28"/>
          <w:lang w:eastAsia="zh-CN"/>
          <w14:textFill>
            <w14:solidFill>
              <w14:schemeClr w14:val="tx1"/>
            </w14:solidFill>
          </w14:textFill>
        </w:rPr>
        <w:tab/>
      </w:r>
      <w:r>
        <w:rPr>
          <w:rFonts w:hint="eastAsia" w:ascii="仿宋_GB2312" w:eastAsia="仿宋_GB2312"/>
          <w:color w:val="000000" w:themeColor="text1"/>
          <w:sz w:val="28"/>
          <w:szCs w:val="28"/>
          <w:lang w:eastAsia="zh-CN"/>
          <w14:textFill>
            <w14:solidFill>
              <w14:schemeClr w14:val="tx1"/>
            </w14:solidFill>
          </w14:textFill>
        </w:rPr>
        <w:fldChar w:fldCharType="end"/>
      </w:r>
      <w:r>
        <w:rPr>
          <w:rFonts w:hint="eastAsia" w:ascii="仿宋_GB2312" w:eastAsia="仿宋_GB2312"/>
          <w:color w:val="000000" w:themeColor="text1"/>
          <w:sz w:val="28"/>
          <w:szCs w:val="28"/>
          <w:lang w:eastAsia="zh-CN"/>
          <w14:textFill>
            <w14:solidFill>
              <w14:schemeClr w14:val="tx1"/>
            </w14:solidFill>
          </w14:textFill>
        </w:rPr>
        <w:t>11</w:t>
      </w:r>
    </w:p>
    <w:p>
      <w:pPr>
        <w:pStyle w:val="10"/>
        <w:tabs>
          <w:tab w:val="right" w:leader="dot" w:pos="8618"/>
          <w:tab w:val="clear" w:pos="1456"/>
          <w:tab w:val="clear" w:pos="8260"/>
        </w:tabs>
        <w:snapToGrid w:val="0"/>
        <w:spacing w:line="380" w:lineRule="exact"/>
        <w:ind w:left="210" w:firstLine="220"/>
        <w:rPr>
          <w:rFonts w:ascii="仿宋_GB2312" w:eastAsia="仿宋_GB2312"/>
          <w:color w:val="000000" w:themeColor="text1"/>
          <w:sz w:val="28"/>
          <w:szCs w:val="28"/>
          <w:lang w:eastAsia="zh-CN"/>
          <w14:textFill>
            <w14:solidFill>
              <w14:schemeClr w14:val="tx1"/>
            </w14:solidFill>
          </w14:textFill>
        </w:rPr>
      </w:pPr>
      <w:r>
        <w:fldChar w:fldCharType="begin"/>
      </w:r>
      <w:r>
        <w:instrText xml:space="preserve"> HYPERLINK \l "_Toc31320" </w:instrText>
      </w:r>
      <w:r>
        <w:fldChar w:fldCharType="separate"/>
      </w:r>
      <w:r>
        <w:rPr>
          <w:rFonts w:hint="eastAsia" w:ascii="仿宋_GB2312" w:hAnsi="楷体_GB2312" w:eastAsia="仿宋_GB2312" w:cs="楷体_GB2312"/>
          <w:color w:val="000000" w:themeColor="text1"/>
          <w:sz w:val="28"/>
          <w:szCs w:val="28"/>
          <w:lang w:eastAsia="zh-CN"/>
          <w14:textFill>
            <w14:solidFill>
              <w14:schemeClr w14:val="tx1"/>
            </w14:solidFill>
          </w14:textFill>
        </w:rPr>
        <w:t>（四）青年婚恋与家庭</w:t>
      </w:r>
      <w:r>
        <w:rPr>
          <w:rFonts w:hint="eastAsia" w:ascii="仿宋_GB2312" w:eastAsia="仿宋_GB2312"/>
          <w:color w:val="000000" w:themeColor="text1"/>
          <w:sz w:val="28"/>
          <w:szCs w:val="28"/>
          <w:lang w:eastAsia="zh-CN"/>
          <w14:textFill>
            <w14:solidFill>
              <w14:schemeClr w14:val="tx1"/>
            </w14:solidFill>
          </w14:textFill>
        </w:rPr>
        <w:tab/>
      </w:r>
      <w:r>
        <w:rPr>
          <w:rFonts w:hint="eastAsia" w:ascii="仿宋_GB2312" w:eastAsia="仿宋_GB2312"/>
          <w:color w:val="000000" w:themeColor="text1"/>
          <w:sz w:val="28"/>
          <w:szCs w:val="28"/>
          <w:lang w:eastAsia="zh-CN"/>
          <w14:textFill>
            <w14:solidFill>
              <w14:schemeClr w14:val="tx1"/>
            </w14:solidFill>
          </w14:textFill>
        </w:rPr>
        <w:fldChar w:fldCharType="end"/>
      </w:r>
      <w:r>
        <w:rPr>
          <w:rFonts w:hint="eastAsia" w:ascii="仿宋_GB2312" w:eastAsia="仿宋_GB2312"/>
          <w:color w:val="000000" w:themeColor="text1"/>
          <w:sz w:val="28"/>
          <w:szCs w:val="28"/>
          <w:lang w:eastAsia="zh-CN"/>
          <w14:textFill>
            <w14:solidFill>
              <w14:schemeClr w14:val="tx1"/>
            </w14:solidFill>
          </w14:textFill>
        </w:rPr>
        <w:t>13</w:t>
      </w:r>
    </w:p>
    <w:p>
      <w:pPr>
        <w:pStyle w:val="10"/>
        <w:tabs>
          <w:tab w:val="right" w:leader="dot" w:pos="8618"/>
          <w:tab w:val="clear" w:pos="1456"/>
          <w:tab w:val="clear" w:pos="8260"/>
        </w:tabs>
        <w:snapToGrid w:val="0"/>
        <w:spacing w:line="380" w:lineRule="exact"/>
        <w:ind w:left="210" w:firstLine="220"/>
        <w:rPr>
          <w:rFonts w:ascii="仿宋_GB2312" w:eastAsia="仿宋_GB2312"/>
          <w:color w:val="000000" w:themeColor="text1"/>
          <w:sz w:val="28"/>
          <w:szCs w:val="28"/>
          <w:lang w:eastAsia="zh-CN"/>
          <w14:textFill>
            <w14:solidFill>
              <w14:schemeClr w14:val="tx1"/>
            </w14:solidFill>
          </w14:textFill>
        </w:rPr>
      </w:pPr>
      <w:r>
        <w:fldChar w:fldCharType="begin"/>
      </w:r>
      <w:r>
        <w:instrText xml:space="preserve"> HYPERLINK \l "_Toc2760" </w:instrText>
      </w:r>
      <w:r>
        <w:fldChar w:fldCharType="separate"/>
      </w:r>
      <w:r>
        <w:rPr>
          <w:rFonts w:hint="eastAsia" w:ascii="仿宋_GB2312" w:eastAsia="仿宋_GB2312"/>
          <w:color w:val="000000" w:themeColor="text1"/>
          <w:sz w:val="28"/>
          <w:szCs w:val="28"/>
          <w:lang w:eastAsia="zh-CN"/>
          <w14:textFill>
            <w14:solidFill>
              <w14:schemeClr w14:val="tx1"/>
            </w14:solidFill>
          </w14:textFill>
        </w:rPr>
        <w:t>（五）青</w:t>
      </w:r>
      <w:r>
        <w:rPr>
          <w:rFonts w:hint="eastAsia" w:ascii="仿宋_GB2312" w:hAnsi="楷体_GB2312" w:eastAsia="仿宋_GB2312" w:cs="楷体_GB2312"/>
          <w:color w:val="000000" w:themeColor="text1"/>
          <w:sz w:val="28"/>
          <w:szCs w:val="28"/>
          <w:lang w:eastAsia="zh-CN"/>
          <w14:textFill>
            <w14:solidFill>
              <w14:schemeClr w14:val="tx1"/>
            </w14:solidFill>
          </w14:textFill>
        </w:rPr>
        <w:t>年就业创业</w:t>
      </w:r>
      <w:r>
        <w:rPr>
          <w:rFonts w:hint="eastAsia" w:ascii="仿宋_GB2312" w:hAnsi="楷体_GB2312" w:eastAsia="仿宋_GB2312" w:cs="楷体_GB2312"/>
          <w:color w:val="000000" w:themeColor="text1"/>
          <w:sz w:val="28"/>
          <w:szCs w:val="28"/>
          <w:lang w:eastAsia="zh-CN"/>
          <w14:textFill>
            <w14:solidFill>
              <w14:schemeClr w14:val="tx1"/>
            </w14:solidFill>
          </w14:textFill>
        </w:rPr>
        <w:tab/>
      </w:r>
      <w:r>
        <w:rPr>
          <w:rFonts w:hint="eastAsia" w:ascii="仿宋_GB2312" w:hAnsi="楷体_GB2312" w:eastAsia="仿宋_GB2312" w:cs="楷体_GB2312"/>
          <w:color w:val="000000" w:themeColor="text1"/>
          <w:sz w:val="28"/>
          <w:szCs w:val="28"/>
          <w:lang w:eastAsia="zh-CN"/>
          <w14:textFill>
            <w14:solidFill>
              <w14:schemeClr w14:val="tx1"/>
            </w14:solidFill>
          </w14:textFill>
        </w:rPr>
        <w:fldChar w:fldCharType="end"/>
      </w:r>
      <w:r>
        <w:rPr>
          <w:rFonts w:hint="eastAsia" w:ascii="仿宋_GB2312" w:hAnsi="楷体_GB2312" w:eastAsia="仿宋_GB2312" w:cs="楷体_GB2312"/>
          <w:color w:val="000000" w:themeColor="text1"/>
          <w:sz w:val="28"/>
          <w:szCs w:val="28"/>
          <w:lang w:eastAsia="zh-CN"/>
          <w14:textFill>
            <w14:solidFill>
              <w14:schemeClr w14:val="tx1"/>
            </w14:solidFill>
          </w14:textFill>
        </w:rPr>
        <w:t>15</w:t>
      </w:r>
    </w:p>
    <w:p>
      <w:pPr>
        <w:pStyle w:val="10"/>
        <w:tabs>
          <w:tab w:val="right" w:leader="dot" w:pos="8618"/>
          <w:tab w:val="clear" w:pos="1456"/>
          <w:tab w:val="clear" w:pos="8260"/>
        </w:tabs>
        <w:snapToGrid w:val="0"/>
        <w:spacing w:line="380" w:lineRule="exact"/>
        <w:ind w:left="210" w:firstLine="220"/>
        <w:rPr>
          <w:rFonts w:ascii="仿宋_GB2312" w:eastAsia="仿宋_GB2312"/>
          <w:color w:val="000000" w:themeColor="text1"/>
          <w:sz w:val="28"/>
          <w:szCs w:val="28"/>
          <w:lang w:eastAsia="zh-CN"/>
          <w14:textFill>
            <w14:solidFill>
              <w14:schemeClr w14:val="tx1"/>
            </w14:solidFill>
          </w14:textFill>
        </w:rPr>
      </w:pPr>
      <w:r>
        <w:fldChar w:fldCharType="begin"/>
      </w:r>
      <w:r>
        <w:instrText xml:space="preserve"> HYPERLINK \l "_Toc18030" </w:instrText>
      </w:r>
      <w:r>
        <w:fldChar w:fldCharType="separate"/>
      </w:r>
      <w:r>
        <w:rPr>
          <w:rFonts w:hint="eastAsia" w:ascii="仿宋_GB2312" w:hAnsi="楷体_GB2312" w:eastAsia="仿宋_GB2312" w:cs="楷体_GB2312"/>
          <w:color w:val="000000" w:themeColor="text1"/>
          <w:sz w:val="28"/>
          <w:szCs w:val="28"/>
          <w:lang w:eastAsia="zh-CN"/>
          <w14:textFill>
            <w14:solidFill>
              <w14:schemeClr w14:val="tx1"/>
            </w14:solidFill>
          </w14:textFill>
        </w:rPr>
        <w:t>（六）青年文化</w:t>
      </w:r>
      <w:r>
        <w:rPr>
          <w:rFonts w:hint="eastAsia" w:ascii="仿宋_GB2312" w:eastAsia="仿宋_GB2312"/>
          <w:color w:val="000000" w:themeColor="text1"/>
          <w:sz w:val="28"/>
          <w:szCs w:val="28"/>
          <w:lang w:eastAsia="zh-CN"/>
          <w14:textFill>
            <w14:solidFill>
              <w14:schemeClr w14:val="tx1"/>
            </w14:solidFill>
          </w14:textFill>
        </w:rPr>
        <w:tab/>
      </w:r>
      <w:r>
        <w:rPr>
          <w:rFonts w:hint="eastAsia" w:ascii="仿宋_GB2312" w:eastAsia="仿宋_GB2312"/>
          <w:color w:val="000000" w:themeColor="text1"/>
          <w:sz w:val="28"/>
          <w:szCs w:val="28"/>
          <w:lang w:eastAsia="zh-CN"/>
          <w14:textFill>
            <w14:solidFill>
              <w14:schemeClr w14:val="tx1"/>
            </w14:solidFill>
          </w14:textFill>
        </w:rPr>
        <w:fldChar w:fldCharType="end"/>
      </w:r>
      <w:r>
        <w:rPr>
          <w:rFonts w:hint="eastAsia" w:ascii="仿宋_GB2312" w:eastAsia="仿宋_GB2312"/>
          <w:color w:val="000000" w:themeColor="text1"/>
          <w:sz w:val="28"/>
          <w:szCs w:val="28"/>
          <w:lang w:eastAsia="zh-CN"/>
          <w14:textFill>
            <w14:solidFill>
              <w14:schemeClr w14:val="tx1"/>
            </w14:solidFill>
          </w14:textFill>
        </w:rPr>
        <w:t>17</w:t>
      </w:r>
    </w:p>
    <w:p>
      <w:pPr>
        <w:pStyle w:val="10"/>
        <w:tabs>
          <w:tab w:val="right" w:leader="dot" w:pos="8618"/>
          <w:tab w:val="clear" w:pos="1456"/>
          <w:tab w:val="clear" w:pos="8260"/>
        </w:tabs>
        <w:snapToGrid w:val="0"/>
        <w:spacing w:line="380" w:lineRule="exact"/>
        <w:ind w:left="210" w:firstLine="220"/>
        <w:rPr>
          <w:rFonts w:ascii="仿宋_GB2312" w:eastAsia="仿宋_GB2312"/>
          <w:color w:val="000000" w:themeColor="text1"/>
          <w:sz w:val="28"/>
          <w:szCs w:val="28"/>
          <w:lang w:eastAsia="zh-CN"/>
          <w14:textFill>
            <w14:solidFill>
              <w14:schemeClr w14:val="tx1"/>
            </w14:solidFill>
          </w14:textFill>
        </w:rPr>
      </w:pPr>
      <w:r>
        <w:fldChar w:fldCharType="begin"/>
      </w:r>
      <w:r>
        <w:instrText xml:space="preserve"> HYPERLINK \l "_Toc8712" </w:instrText>
      </w:r>
      <w:r>
        <w:fldChar w:fldCharType="separate"/>
      </w:r>
      <w:r>
        <w:rPr>
          <w:rFonts w:hint="eastAsia" w:ascii="仿宋_GB2312" w:hAnsi="楷体_GB2312" w:eastAsia="仿宋_GB2312" w:cs="楷体_GB2312"/>
          <w:color w:val="000000" w:themeColor="text1"/>
          <w:sz w:val="28"/>
          <w:szCs w:val="28"/>
          <w:lang w:eastAsia="zh-CN"/>
          <w14:textFill>
            <w14:solidFill>
              <w14:schemeClr w14:val="tx1"/>
            </w14:solidFill>
          </w14:textFill>
        </w:rPr>
        <w:t>（七）青年社会融入与社会参与</w:t>
      </w:r>
      <w:r>
        <w:rPr>
          <w:rFonts w:hint="eastAsia" w:ascii="仿宋_GB2312" w:eastAsia="仿宋_GB2312"/>
          <w:color w:val="000000" w:themeColor="text1"/>
          <w:sz w:val="28"/>
          <w:szCs w:val="28"/>
          <w:lang w:eastAsia="zh-CN"/>
          <w14:textFill>
            <w14:solidFill>
              <w14:schemeClr w14:val="tx1"/>
            </w14:solidFill>
          </w14:textFill>
        </w:rPr>
        <w:tab/>
      </w:r>
      <w:r>
        <w:rPr>
          <w:rFonts w:hint="eastAsia" w:ascii="仿宋_GB2312" w:eastAsia="仿宋_GB2312"/>
          <w:color w:val="000000" w:themeColor="text1"/>
          <w:sz w:val="28"/>
          <w:szCs w:val="28"/>
          <w:lang w:eastAsia="zh-CN"/>
          <w14:textFill>
            <w14:solidFill>
              <w14:schemeClr w14:val="tx1"/>
            </w14:solidFill>
          </w14:textFill>
        </w:rPr>
        <w:fldChar w:fldCharType="end"/>
      </w:r>
      <w:r>
        <w:rPr>
          <w:rFonts w:hint="eastAsia" w:ascii="仿宋_GB2312" w:eastAsia="仿宋_GB2312"/>
          <w:color w:val="000000" w:themeColor="text1"/>
          <w:sz w:val="28"/>
          <w:szCs w:val="28"/>
          <w:lang w:eastAsia="zh-CN"/>
          <w14:textFill>
            <w14:solidFill>
              <w14:schemeClr w14:val="tx1"/>
            </w14:solidFill>
          </w14:textFill>
        </w:rPr>
        <w:t>19</w:t>
      </w:r>
    </w:p>
    <w:p>
      <w:pPr>
        <w:pStyle w:val="10"/>
        <w:tabs>
          <w:tab w:val="right" w:leader="dot" w:pos="8618"/>
          <w:tab w:val="clear" w:pos="1456"/>
          <w:tab w:val="clear" w:pos="8260"/>
        </w:tabs>
        <w:snapToGrid w:val="0"/>
        <w:spacing w:line="380" w:lineRule="exact"/>
        <w:ind w:left="210" w:firstLine="220"/>
        <w:rPr>
          <w:rFonts w:ascii="仿宋_GB2312" w:eastAsia="仿宋_GB2312"/>
          <w:color w:val="000000" w:themeColor="text1"/>
          <w:sz w:val="28"/>
          <w:szCs w:val="28"/>
          <w:lang w:eastAsia="zh-CN"/>
          <w14:textFill>
            <w14:solidFill>
              <w14:schemeClr w14:val="tx1"/>
            </w14:solidFill>
          </w14:textFill>
        </w:rPr>
      </w:pPr>
      <w:r>
        <w:fldChar w:fldCharType="begin"/>
      </w:r>
      <w:r>
        <w:instrText xml:space="preserve"> HYPERLINK \l "_Toc9029" </w:instrText>
      </w:r>
      <w:r>
        <w:fldChar w:fldCharType="separate"/>
      </w:r>
      <w:r>
        <w:rPr>
          <w:rFonts w:hint="eastAsia" w:ascii="仿宋_GB2312" w:hAnsi="楷体_GB2312" w:eastAsia="仿宋_GB2312" w:cs="楷体_GB2312"/>
          <w:color w:val="000000" w:themeColor="text1"/>
          <w:sz w:val="28"/>
          <w:szCs w:val="28"/>
          <w:lang w:eastAsia="zh-CN"/>
          <w14:textFill>
            <w14:solidFill>
              <w14:schemeClr w14:val="tx1"/>
            </w14:solidFill>
          </w14:textFill>
        </w:rPr>
        <w:t>（八）</w:t>
      </w:r>
      <w:r>
        <w:rPr>
          <w:rFonts w:hint="eastAsia" w:ascii="仿宋_GB2312" w:hAnsi="楷体_GB2312" w:eastAsia="仿宋_GB2312" w:cs="楷体_GB2312"/>
          <w:color w:val="000000" w:themeColor="text1"/>
          <w:sz w:val="28"/>
          <w:szCs w:val="28"/>
          <w:lang w:val="zh-TW" w:eastAsia="zh-TW"/>
          <w14:textFill>
            <w14:solidFill>
              <w14:schemeClr w14:val="tx1"/>
            </w14:solidFill>
          </w14:textFill>
        </w:rPr>
        <w:t>青年</w:t>
      </w:r>
      <w:r>
        <w:rPr>
          <w:rFonts w:hint="eastAsia" w:ascii="仿宋_GB2312" w:hAnsi="楷体_GB2312" w:eastAsia="仿宋_GB2312" w:cs="楷体_GB2312"/>
          <w:color w:val="000000" w:themeColor="text1"/>
          <w:sz w:val="28"/>
          <w:szCs w:val="28"/>
          <w:lang w:val="zh-TW" w:eastAsia="zh-CN"/>
          <w14:textFill>
            <w14:solidFill>
              <w14:schemeClr w14:val="tx1"/>
            </w14:solidFill>
          </w14:textFill>
        </w:rPr>
        <w:t>人才</w:t>
      </w:r>
      <w:r>
        <w:rPr>
          <w:rFonts w:hint="eastAsia" w:ascii="仿宋_GB2312" w:eastAsia="仿宋_GB2312"/>
          <w:color w:val="000000" w:themeColor="text1"/>
          <w:sz w:val="28"/>
          <w:szCs w:val="28"/>
          <w:lang w:eastAsia="zh-CN"/>
          <w14:textFill>
            <w14:solidFill>
              <w14:schemeClr w14:val="tx1"/>
            </w14:solidFill>
          </w14:textFill>
        </w:rPr>
        <w:tab/>
      </w:r>
      <w:r>
        <w:rPr>
          <w:rFonts w:hint="eastAsia" w:ascii="仿宋_GB2312" w:eastAsia="仿宋_GB2312"/>
          <w:color w:val="000000" w:themeColor="text1"/>
          <w:sz w:val="28"/>
          <w:szCs w:val="28"/>
          <w:lang w:eastAsia="zh-CN"/>
          <w14:textFill>
            <w14:solidFill>
              <w14:schemeClr w14:val="tx1"/>
            </w14:solidFill>
          </w14:textFill>
        </w:rPr>
        <w:fldChar w:fldCharType="end"/>
      </w:r>
      <w:r>
        <w:rPr>
          <w:rFonts w:hint="eastAsia" w:ascii="仿宋_GB2312" w:eastAsia="仿宋_GB2312"/>
          <w:color w:val="000000" w:themeColor="text1"/>
          <w:sz w:val="28"/>
          <w:szCs w:val="28"/>
          <w:lang w:eastAsia="zh-CN"/>
          <w14:textFill>
            <w14:solidFill>
              <w14:schemeClr w14:val="tx1"/>
            </w14:solidFill>
          </w14:textFill>
        </w:rPr>
        <w:t>20</w:t>
      </w:r>
    </w:p>
    <w:p>
      <w:pPr>
        <w:pStyle w:val="10"/>
        <w:tabs>
          <w:tab w:val="right" w:leader="dot" w:pos="8618"/>
          <w:tab w:val="clear" w:pos="1456"/>
          <w:tab w:val="clear" w:pos="8260"/>
        </w:tabs>
        <w:snapToGrid w:val="0"/>
        <w:spacing w:line="380" w:lineRule="exact"/>
        <w:ind w:left="210" w:firstLine="220"/>
        <w:rPr>
          <w:rFonts w:ascii="仿宋_GB2312" w:eastAsia="仿宋_GB2312"/>
          <w:color w:val="000000" w:themeColor="text1"/>
          <w:sz w:val="28"/>
          <w:szCs w:val="28"/>
          <w:lang w:eastAsia="zh-CN"/>
          <w14:textFill>
            <w14:solidFill>
              <w14:schemeClr w14:val="tx1"/>
            </w14:solidFill>
          </w14:textFill>
        </w:rPr>
      </w:pPr>
      <w:r>
        <w:fldChar w:fldCharType="begin"/>
      </w:r>
      <w:r>
        <w:instrText xml:space="preserve"> HYPERLINK \l "_Toc25692" </w:instrText>
      </w:r>
      <w:r>
        <w:fldChar w:fldCharType="separate"/>
      </w:r>
      <w:r>
        <w:rPr>
          <w:rFonts w:hint="eastAsia" w:ascii="仿宋_GB2312" w:hAnsi="楷体_GB2312" w:eastAsia="仿宋_GB2312" w:cs="楷体_GB2312"/>
          <w:color w:val="000000" w:themeColor="text1"/>
          <w:sz w:val="28"/>
          <w:szCs w:val="28"/>
          <w:lang w:eastAsia="zh-CN"/>
          <w14:textFill>
            <w14:solidFill>
              <w14:schemeClr w14:val="tx1"/>
            </w14:solidFill>
          </w14:textFill>
        </w:rPr>
        <w:t>（九）</w:t>
      </w:r>
      <w:r>
        <w:rPr>
          <w:rFonts w:hint="eastAsia" w:ascii="仿宋_GB2312" w:hAnsi="楷体_GB2312" w:eastAsia="仿宋_GB2312" w:cs="楷体_GB2312"/>
          <w:color w:val="000000" w:themeColor="text1"/>
          <w:sz w:val="28"/>
          <w:szCs w:val="28"/>
          <w:lang w:val="zh-TW" w:eastAsia="zh-TW"/>
          <w14:textFill>
            <w14:solidFill>
              <w14:schemeClr w14:val="tx1"/>
            </w14:solidFill>
          </w14:textFill>
        </w:rPr>
        <w:t>青少年合法权益维护</w:t>
      </w:r>
      <w:r>
        <w:rPr>
          <w:rFonts w:hint="eastAsia" w:ascii="仿宋_GB2312" w:eastAsia="仿宋_GB2312"/>
          <w:color w:val="000000" w:themeColor="text1"/>
          <w:sz w:val="28"/>
          <w:szCs w:val="28"/>
          <w:lang w:eastAsia="zh-CN"/>
          <w14:textFill>
            <w14:solidFill>
              <w14:schemeClr w14:val="tx1"/>
            </w14:solidFill>
          </w14:textFill>
        </w:rPr>
        <w:tab/>
      </w:r>
      <w:r>
        <w:rPr>
          <w:rFonts w:hint="eastAsia" w:ascii="仿宋_GB2312" w:eastAsia="仿宋_GB2312"/>
          <w:color w:val="000000" w:themeColor="text1"/>
          <w:sz w:val="28"/>
          <w:szCs w:val="28"/>
          <w:lang w:eastAsia="zh-CN"/>
          <w14:textFill>
            <w14:solidFill>
              <w14:schemeClr w14:val="tx1"/>
            </w14:solidFill>
          </w14:textFill>
        </w:rPr>
        <w:fldChar w:fldCharType="end"/>
      </w:r>
      <w:r>
        <w:rPr>
          <w:rFonts w:hint="eastAsia" w:ascii="仿宋_GB2312" w:eastAsia="仿宋_GB2312"/>
          <w:color w:val="000000" w:themeColor="text1"/>
          <w:sz w:val="28"/>
          <w:szCs w:val="28"/>
          <w:lang w:eastAsia="zh-CN"/>
          <w14:textFill>
            <w14:solidFill>
              <w14:schemeClr w14:val="tx1"/>
            </w14:solidFill>
          </w14:textFill>
        </w:rPr>
        <w:t>22</w:t>
      </w:r>
    </w:p>
    <w:p>
      <w:pPr>
        <w:pStyle w:val="10"/>
        <w:tabs>
          <w:tab w:val="right" w:leader="dot" w:pos="8618"/>
          <w:tab w:val="clear" w:pos="1456"/>
          <w:tab w:val="clear" w:pos="8260"/>
        </w:tabs>
        <w:snapToGrid w:val="0"/>
        <w:spacing w:line="380" w:lineRule="exact"/>
        <w:ind w:left="210" w:firstLine="220"/>
        <w:rPr>
          <w:rFonts w:ascii="仿宋_GB2312" w:eastAsia="仿宋_GB2312"/>
          <w:color w:val="000000" w:themeColor="text1"/>
          <w:sz w:val="28"/>
          <w:szCs w:val="28"/>
          <w:lang w:eastAsia="zh-CN"/>
          <w14:textFill>
            <w14:solidFill>
              <w14:schemeClr w14:val="tx1"/>
            </w14:solidFill>
          </w14:textFill>
        </w:rPr>
      </w:pPr>
      <w:r>
        <w:fldChar w:fldCharType="begin"/>
      </w:r>
      <w:r>
        <w:instrText xml:space="preserve"> HYPERLINK \l "_Toc4063" </w:instrText>
      </w:r>
      <w:r>
        <w:fldChar w:fldCharType="separate"/>
      </w:r>
      <w:r>
        <w:rPr>
          <w:rFonts w:hint="eastAsia" w:ascii="仿宋_GB2312" w:hAnsi="仿宋_GB2312" w:eastAsia="仿宋_GB2312" w:cs="仿宋_GB2312"/>
          <w:bCs/>
          <w:color w:val="000000" w:themeColor="text1"/>
          <w:sz w:val="28"/>
          <w:szCs w:val="28"/>
          <w:lang w:eastAsia="zh-CN"/>
          <w14:textFill>
            <w14:solidFill>
              <w14:schemeClr w14:val="tx1"/>
            </w14:solidFill>
          </w14:textFill>
        </w:rPr>
        <w:t>（十）</w:t>
      </w:r>
      <w:r>
        <w:rPr>
          <w:rFonts w:hint="eastAsia" w:ascii="仿宋_GB2312" w:hAnsi="楷体_GB2312" w:eastAsia="仿宋_GB2312" w:cs="楷体_GB2312"/>
          <w:color w:val="000000" w:themeColor="text1"/>
          <w:sz w:val="28"/>
          <w:szCs w:val="28"/>
          <w:lang w:val="zh-TW" w:eastAsia="zh-TW"/>
          <w14:textFill>
            <w14:solidFill>
              <w14:schemeClr w14:val="tx1"/>
            </w14:solidFill>
          </w14:textFill>
        </w:rPr>
        <w:t>预防青少年违法犯罪</w:t>
      </w:r>
      <w:r>
        <w:rPr>
          <w:rFonts w:hint="eastAsia" w:ascii="仿宋_GB2312" w:eastAsia="仿宋_GB2312"/>
          <w:color w:val="000000" w:themeColor="text1"/>
          <w:sz w:val="28"/>
          <w:szCs w:val="28"/>
          <w:lang w:eastAsia="zh-CN"/>
          <w14:textFill>
            <w14:solidFill>
              <w14:schemeClr w14:val="tx1"/>
            </w14:solidFill>
          </w14:textFill>
        </w:rPr>
        <w:tab/>
      </w:r>
      <w:r>
        <w:rPr>
          <w:rFonts w:hint="eastAsia" w:ascii="仿宋_GB2312" w:eastAsia="仿宋_GB2312"/>
          <w:color w:val="000000" w:themeColor="text1"/>
          <w:sz w:val="28"/>
          <w:szCs w:val="28"/>
          <w:lang w:eastAsia="zh-CN"/>
          <w14:textFill>
            <w14:solidFill>
              <w14:schemeClr w14:val="tx1"/>
            </w14:solidFill>
          </w14:textFill>
        </w:rPr>
        <w:fldChar w:fldCharType="end"/>
      </w:r>
      <w:r>
        <w:rPr>
          <w:rFonts w:hint="eastAsia" w:ascii="仿宋_GB2312" w:eastAsia="仿宋_GB2312"/>
          <w:color w:val="000000" w:themeColor="text1"/>
          <w:sz w:val="28"/>
          <w:szCs w:val="28"/>
          <w:lang w:eastAsia="zh-CN"/>
          <w14:textFill>
            <w14:solidFill>
              <w14:schemeClr w14:val="tx1"/>
            </w14:solidFill>
          </w14:textFill>
        </w:rPr>
        <w:t>24</w:t>
      </w:r>
    </w:p>
    <w:p>
      <w:pPr>
        <w:pStyle w:val="8"/>
        <w:tabs>
          <w:tab w:val="right" w:leader="dot" w:pos="8618"/>
          <w:tab w:val="clear" w:pos="980"/>
          <w:tab w:val="clear" w:pos="1260"/>
          <w:tab w:val="clear" w:pos="8260"/>
        </w:tabs>
        <w:snapToGrid w:val="0"/>
        <w:spacing w:beforeLines="0" w:line="380" w:lineRule="exact"/>
        <w:rPr>
          <w:color w:val="000000" w:themeColor="text1"/>
          <w:sz w:val="28"/>
          <w:szCs w:val="28"/>
          <w:lang w:eastAsia="zh-CN"/>
          <w14:textFill>
            <w14:solidFill>
              <w14:schemeClr w14:val="tx1"/>
            </w14:solidFill>
          </w14:textFill>
        </w:rPr>
      </w:pPr>
      <w:r>
        <w:fldChar w:fldCharType="begin"/>
      </w:r>
      <w:r>
        <w:instrText xml:space="preserve"> HYPERLINK \l "_Toc18801" </w:instrText>
      </w:r>
      <w:r>
        <w:fldChar w:fldCharType="separate"/>
      </w:r>
      <w:r>
        <w:rPr>
          <w:rFonts w:hint="eastAsia" w:ascii="黑体" w:hAnsi="黑体" w:eastAsia="黑体" w:cs="黑体"/>
          <w:bCs/>
          <w:color w:val="000000" w:themeColor="text1"/>
          <w:sz w:val="28"/>
          <w:szCs w:val="28"/>
          <w:lang w:eastAsia="zh-CN"/>
          <w14:textFill>
            <w14:solidFill>
              <w14:schemeClr w14:val="tx1"/>
            </w14:solidFill>
          </w14:textFill>
        </w:rPr>
        <w:t>四、重点工程</w:t>
      </w:r>
      <w:r>
        <w:rPr>
          <w:rFonts w:hint="eastAsia" w:ascii="黑体" w:hAnsi="黑体" w:eastAsia="黑体" w:cs="黑体"/>
          <w:bCs/>
          <w:color w:val="000000" w:themeColor="text1"/>
          <w:sz w:val="28"/>
          <w:szCs w:val="28"/>
          <w:lang w:eastAsia="zh-CN"/>
          <w14:textFill>
            <w14:solidFill>
              <w14:schemeClr w14:val="tx1"/>
            </w14:solidFill>
          </w14:textFill>
        </w:rPr>
        <w:fldChar w:fldCharType="end"/>
      </w:r>
    </w:p>
    <w:p>
      <w:pPr>
        <w:pStyle w:val="10"/>
        <w:tabs>
          <w:tab w:val="right" w:leader="dot" w:pos="8618"/>
          <w:tab w:val="clear" w:pos="1456"/>
          <w:tab w:val="clear" w:pos="8260"/>
        </w:tabs>
        <w:snapToGrid w:val="0"/>
        <w:spacing w:line="380" w:lineRule="exact"/>
        <w:ind w:left="210" w:firstLine="220"/>
        <w:rPr>
          <w:rFonts w:ascii="仿宋_GB2312" w:hAnsi="仿宋_GB2312" w:eastAsia="仿宋_GB2312" w:cs="仿宋_GB2312"/>
          <w:bCs/>
          <w:color w:val="000000" w:themeColor="text1"/>
          <w:sz w:val="28"/>
          <w:szCs w:val="28"/>
          <w:lang w:eastAsia="zh-CN"/>
          <w14:textFill>
            <w14:solidFill>
              <w14:schemeClr w14:val="tx1"/>
            </w14:solidFill>
          </w14:textFill>
        </w:rPr>
      </w:pPr>
      <w:r>
        <w:fldChar w:fldCharType="begin"/>
      </w:r>
      <w:r>
        <w:instrText xml:space="preserve"> HYPERLINK \l "_Toc3868" </w:instrText>
      </w:r>
      <w:r>
        <w:fldChar w:fldCharType="separate"/>
      </w:r>
      <w:r>
        <w:rPr>
          <w:rFonts w:hint="eastAsia" w:ascii="仿宋_GB2312" w:hAnsi="仿宋_GB2312" w:eastAsia="仿宋_GB2312" w:cs="仿宋_GB2312"/>
          <w:bCs/>
          <w:color w:val="000000" w:themeColor="text1"/>
          <w:sz w:val="28"/>
          <w:szCs w:val="28"/>
          <w:lang w:eastAsia="zh-CN"/>
          <w14:textFill>
            <w14:solidFill>
              <w14:schemeClr w14:val="tx1"/>
            </w14:solidFill>
          </w14:textFill>
        </w:rPr>
        <w:t>（一）青年思想政治引领工程</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ab/>
      </w:r>
      <w:r>
        <w:rPr>
          <w:rFonts w:hint="eastAsia" w:ascii="仿宋_GB2312" w:hAnsi="仿宋_GB2312" w:eastAsia="仿宋_GB2312" w:cs="仿宋_GB2312"/>
          <w:bCs/>
          <w:color w:val="000000" w:themeColor="text1"/>
          <w:sz w:val="28"/>
          <w:szCs w:val="28"/>
          <w:lang w:eastAsia="zh-CN"/>
          <w14:textFill>
            <w14:solidFill>
              <w14:schemeClr w14:val="tx1"/>
            </w14:solidFill>
          </w14:textFill>
        </w:rPr>
        <w:fldChar w:fldCharType="end"/>
      </w:r>
      <w:r>
        <w:rPr>
          <w:rFonts w:hint="eastAsia" w:ascii="仿宋_GB2312" w:hAnsi="仿宋_GB2312" w:eastAsia="仿宋_GB2312" w:cs="仿宋_GB2312"/>
          <w:bCs/>
          <w:color w:val="000000" w:themeColor="text1"/>
          <w:sz w:val="28"/>
          <w:szCs w:val="28"/>
          <w:lang w:eastAsia="zh-CN"/>
          <w14:textFill>
            <w14:solidFill>
              <w14:schemeClr w14:val="tx1"/>
            </w14:solidFill>
          </w14:textFill>
        </w:rPr>
        <w:t>27</w:t>
      </w:r>
    </w:p>
    <w:p>
      <w:pPr>
        <w:pStyle w:val="10"/>
        <w:tabs>
          <w:tab w:val="right" w:leader="dot" w:pos="8618"/>
          <w:tab w:val="clear" w:pos="1456"/>
          <w:tab w:val="clear" w:pos="8260"/>
        </w:tabs>
        <w:snapToGrid w:val="0"/>
        <w:spacing w:line="380" w:lineRule="exact"/>
        <w:ind w:left="210" w:firstLine="220"/>
        <w:rPr>
          <w:rFonts w:ascii="仿宋_GB2312" w:hAnsi="仿宋_GB2312" w:eastAsia="仿宋_GB2312" w:cs="仿宋_GB2312"/>
          <w:bCs/>
          <w:color w:val="000000" w:themeColor="text1"/>
          <w:sz w:val="28"/>
          <w:szCs w:val="28"/>
          <w:lang w:eastAsia="zh-CN"/>
          <w14:textFill>
            <w14:solidFill>
              <w14:schemeClr w14:val="tx1"/>
            </w14:solidFill>
          </w14:textFill>
        </w:rPr>
      </w:pPr>
      <w:r>
        <w:fldChar w:fldCharType="begin"/>
      </w:r>
      <w:r>
        <w:instrText xml:space="preserve"> HYPERLINK \l "_Toc13028" </w:instrText>
      </w:r>
      <w:r>
        <w:fldChar w:fldCharType="separate"/>
      </w:r>
      <w:r>
        <w:rPr>
          <w:rFonts w:hint="eastAsia" w:ascii="仿宋_GB2312" w:hAnsi="仿宋_GB2312" w:eastAsia="仿宋_GB2312" w:cs="仿宋_GB2312"/>
          <w:bCs/>
          <w:color w:val="000000" w:themeColor="text1"/>
          <w:sz w:val="28"/>
          <w:szCs w:val="28"/>
          <w:lang w:eastAsia="zh-CN"/>
          <w14:textFill>
            <w14:solidFill>
              <w14:schemeClr w14:val="tx1"/>
            </w14:solidFill>
          </w14:textFill>
        </w:rPr>
        <w:t>（二）青年成长发展赋能工程</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ab/>
      </w:r>
      <w:r>
        <w:rPr>
          <w:rFonts w:hint="eastAsia" w:ascii="仿宋_GB2312" w:hAnsi="仿宋_GB2312" w:eastAsia="仿宋_GB2312" w:cs="仿宋_GB2312"/>
          <w:bCs/>
          <w:color w:val="000000" w:themeColor="text1"/>
          <w:sz w:val="28"/>
          <w:szCs w:val="28"/>
          <w:lang w:eastAsia="zh-CN"/>
          <w14:textFill>
            <w14:solidFill>
              <w14:schemeClr w14:val="tx1"/>
            </w14:solidFill>
          </w14:textFill>
        </w:rPr>
        <w:fldChar w:fldCharType="end"/>
      </w:r>
      <w:r>
        <w:rPr>
          <w:rFonts w:hint="eastAsia" w:ascii="仿宋_GB2312" w:hAnsi="仿宋_GB2312" w:eastAsia="仿宋_GB2312" w:cs="仿宋_GB2312"/>
          <w:bCs/>
          <w:color w:val="000000" w:themeColor="text1"/>
          <w:sz w:val="28"/>
          <w:szCs w:val="28"/>
          <w:lang w:eastAsia="zh-CN"/>
          <w14:textFill>
            <w14:solidFill>
              <w14:schemeClr w14:val="tx1"/>
            </w14:solidFill>
          </w14:textFill>
        </w:rPr>
        <w:t>27</w:t>
      </w:r>
    </w:p>
    <w:p>
      <w:pPr>
        <w:pStyle w:val="10"/>
        <w:tabs>
          <w:tab w:val="right" w:leader="dot" w:pos="8618"/>
          <w:tab w:val="clear" w:pos="1456"/>
          <w:tab w:val="clear" w:pos="8260"/>
        </w:tabs>
        <w:snapToGrid w:val="0"/>
        <w:spacing w:line="380" w:lineRule="exact"/>
        <w:ind w:left="210" w:firstLine="220"/>
        <w:rPr>
          <w:rFonts w:ascii="仿宋_GB2312" w:hAnsi="仿宋_GB2312" w:eastAsia="仿宋_GB2312" w:cs="仿宋_GB2312"/>
          <w:bCs/>
          <w:color w:val="000000" w:themeColor="text1"/>
          <w:sz w:val="28"/>
          <w:szCs w:val="28"/>
          <w:lang w:eastAsia="zh-CN"/>
          <w14:textFill>
            <w14:solidFill>
              <w14:schemeClr w14:val="tx1"/>
            </w14:solidFill>
          </w14:textFill>
        </w:rPr>
      </w:pPr>
      <w:r>
        <w:fldChar w:fldCharType="begin"/>
      </w:r>
      <w:r>
        <w:instrText xml:space="preserve"> HYPERLINK \l "_Toc17761" </w:instrText>
      </w:r>
      <w:r>
        <w:fldChar w:fldCharType="separate"/>
      </w:r>
      <w:r>
        <w:rPr>
          <w:rFonts w:hint="eastAsia" w:ascii="仿宋_GB2312" w:hAnsi="仿宋_GB2312" w:eastAsia="仿宋_GB2312" w:cs="仿宋_GB2312"/>
          <w:bCs/>
          <w:color w:val="000000" w:themeColor="text1"/>
          <w:sz w:val="28"/>
          <w:szCs w:val="28"/>
          <w:lang w:eastAsia="zh-CN"/>
          <w14:textFill>
            <w14:solidFill>
              <w14:schemeClr w14:val="tx1"/>
            </w14:solidFill>
          </w14:textFill>
        </w:rPr>
        <w:t>（三）青年体质健康提升工程</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ab/>
      </w:r>
      <w:r>
        <w:rPr>
          <w:rFonts w:hint="eastAsia" w:ascii="仿宋_GB2312" w:hAnsi="仿宋_GB2312" w:eastAsia="仿宋_GB2312" w:cs="仿宋_GB2312"/>
          <w:bCs/>
          <w:color w:val="000000" w:themeColor="text1"/>
          <w:sz w:val="28"/>
          <w:szCs w:val="28"/>
          <w:lang w:eastAsia="zh-CN"/>
          <w14:textFill>
            <w14:solidFill>
              <w14:schemeClr w14:val="tx1"/>
            </w14:solidFill>
          </w14:textFill>
        </w:rPr>
        <w:fldChar w:fldCharType="end"/>
      </w:r>
      <w:r>
        <w:rPr>
          <w:rFonts w:hint="eastAsia" w:ascii="仿宋_GB2312" w:hAnsi="仿宋_GB2312" w:eastAsia="仿宋_GB2312" w:cs="仿宋_GB2312"/>
          <w:bCs/>
          <w:color w:val="000000" w:themeColor="text1"/>
          <w:sz w:val="28"/>
          <w:szCs w:val="28"/>
          <w:lang w:eastAsia="zh-CN"/>
          <w14:textFill>
            <w14:solidFill>
              <w14:schemeClr w14:val="tx1"/>
            </w14:solidFill>
          </w14:textFill>
        </w:rPr>
        <w:t>28</w:t>
      </w:r>
    </w:p>
    <w:p>
      <w:pPr>
        <w:pStyle w:val="10"/>
        <w:tabs>
          <w:tab w:val="right" w:leader="dot" w:pos="8618"/>
          <w:tab w:val="clear" w:pos="1456"/>
          <w:tab w:val="clear" w:pos="8260"/>
        </w:tabs>
        <w:snapToGrid w:val="0"/>
        <w:spacing w:line="380" w:lineRule="exact"/>
        <w:ind w:left="210" w:firstLine="220"/>
        <w:rPr>
          <w:rFonts w:ascii="仿宋_GB2312" w:hAnsi="仿宋_GB2312" w:eastAsia="仿宋_GB2312" w:cs="仿宋_GB2312"/>
          <w:bCs/>
          <w:color w:val="000000" w:themeColor="text1"/>
          <w:sz w:val="28"/>
          <w:szCs w:val="28"/>
          <w:lang w:eastAsia="zh-CN"/>
          <w14:textFill>
            <w14:solidFill>
              <w14:schemeClr w14:val="tx1"/>
            </w14:solidFill>
          </w14:textFill>
        </w:rPr>
      </w:pPr>
      <w:r>
        <w:fldChar w:fldCharType="begin"/>
      </w:r>
      <w:r>
        <w:instrText xml:space="preserve"> HYPERLINK \l "_Toc16350" </w:instrText>
      </w:r>
      <w:r>
        <w:fldChar w:fldCharType="separate"/>
      </w:r>
      <w:r>
        <w:rPr>
          <w:rFonts w:hint="eastAsia" w:ascii="仿宋_GB2312" w:hAnsi="仿宋_GB2312" w:eastAsia="仿宋_GB2312" w:cs="仿宋_GB2312"/>
          <w:bCs/>
          <w:color w:val="000000" w:themeColor="text1"/>
          <w:sz w:val="28"/>
          <w:szCs w:val="28"/>
          <w:lang w:eastAsia="zh-CN"/>
          <w14:textFill>
            <w14:solidFill>
              <w14:schemeClr w14:val="tx1"/>
            </w14:solidFill>
          </w14:textFill>
        </w:rPr>
        <w:t>（四）青年人才引育留用工程</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ab/>
      </w:r>
      <w:r>
        <w:rPr>
          <w:rFonts w:hint="eastAsia" w:ascii="仿宋_GB2312" w:hAnsi="仿宋_GB2312" w:eastAsia="仿宋_GB2312" w:cs="仿宋_GB2312"/>
          <w:bCs/>
          <w:color w:val="000000" w:themeColor="text1"/>
          <w:sz w:val="28"/>
          <w:szCs w:val="28"/>
          <w:lang w:eastAsia="zh-CN"/>
          <w14:textFill>
            <w14:solidFill>
              <w14:schemeClr w14:val="tx1"/>
            </w14:solidFill>
          </w14:textFill>
        </w:rPr>
        <w:fldChar w:fldCharType="end"/>
      </w:r>
      <w:r>
        <w:rPr>
          <w:rFonts w:hint="eastAsia" w:ascii="仿宋_GB2312" w:hAnsi="仿宋_GB2312" w:eastAsia="仿宋_GB2312" w:cs="仿宋_GB2312"/>
          <w:bCs/>
          <w:color w:val="000000" w:themeColor="text1"/>
          <w:sz w:val="28"/>
          <w:szCs w:val="28"/>
          <w:lang w:eastAsia="zh-CN"/>
          <w14:textFill>
            <w14:solidFill>
              <w14:schemeClr w14:val="tx1"/>
            </w14:solidFill>
          </w14:textFill>
        </w:rPr>
        <w:t>28</w:t>
      </w:r>
    </w:p>
    <w:p>
      <w:pPr>
        <w:pStyle w:val="10"/>
        <w:tabs>
          <w:tab w:val="right" w:leader="dot" w:pos="8618"/>
          <w:tab w:val="clear" w:pos="1456"/>
          <w:tab w:val="clear" w:pos="8260"/>
        </w:tabs>
        <w:snapToGrid w:val="0"/>
        <w:spacing w:line="380" w:lineRule="exact"/>
        <w:ind w:left="210" w:firstLine="220"/>
        <w:rPr>
          <w:rFonts w:ascii="仿宋_GB2312" w:hAnsi="仿宋_GB2312" w:eastAsia="仿宋_GB2312" w:cs="仿宋_GB2312"/>
          <w:bCs/>
          <w:color w:val="000000" w:themeColor="text1"/>
          <w:sz w:val="28"/>
          <w:szCs w:val="28"/>
          <w:lang w:eastAsia="zh-CN"/>
          <w14:textFill>
            <w14:solidFill>
              <w14:schemeClr w14:val="tx1"/>
            </w14:solidFill>
          </w14:textFill>
        </w:rPr>
      </w:pPr>
      <w:r>
        <w:fldChar w:fldCharType="begin"/>
      </w:r>
      <w:r>
        <w:instrText xml:space="preserve"> HYPERLINK \l "_Toc30779" </w:instrText>
      </w:r>
      <w:r>
        <w:fldChar w:fldCharType="separate"/>
      </w:r>
      <w:r>
        <w:rPr>
          <w:rFonts w:hint="eastAsia" w:ascii="仿宋_GB2312" w:hAnsi="仿宋_GB2312" w:eastAsia="仿宋_GB2312" w:cs="仿宋_GB2312"/>
          <w:bCs/>
          <w:color w:val="000000" w:themeColor="text1"/>
          <w:sz w:val="28"/>
          <w:szCs w:val="28"/>
          <w:lang w:eastAsia="zh-CN"/>
          <w14:textFill>
            <w14:solidFill>
              <w14:schemeClr w14:val="tx1"/>
            </w14:solidFill>
          </w14:textFill>
        </w:rPr>
        <w:t>（五）青年助力乡村振兴工程</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ab/>
      </w:r>
      <w:r>
        <w:rPr>
          <w:rFonts w:hint="eastAsia" w:ascii="仿宋_GB2312" w:hAnsi="仿宋_GB2312" w:eastAsia="仿宋_GB2312" w:cs="仿宋_GB2312"/>
          <w:bCs/>
          <w:color w:val="000000" w:themeColor="text1"/>
          <w:sz w:val="28"/>
          <w:szCs w:val="28"/>
          <w:lang w:eastAsia="zh-CN"/>
          <w14:textFill>
            <w14:solidFill>
              <w14:schemeClr w14:val="tx1"/>
            </w14:solidFill>
          </w14:textFill>
        </w:rPr>
        <w:fldChar w:fldCharType="end"/>
      </w:r>
      <w:r>
        <w:rPr>
          <w:rFonts w:hint="eastAsia" w:ascii="仿宋_GB2312" w:hAnsi="仿宋_GB2312" w:eastAsia="仿宋_GB2312" w:cs="仿宋_GB2312"/>
          <w:bCs/>
          <w:color w:val="000000" w:themeColor="text1"/>
          <w:sz w:val="28"/>
          <w:szCs w:val="28"/>
          <w:lang w:eastAsia="zh-CN"/>
          <w14:textFill>
            <w14:solidFill>
              <w14:schemeClr w14:val="tx1"/>
            </w14:solidFill>
          </w14:textFill>
        </w:rPr>
        <w:t>29</w:t>
      </w:r>
    </w:p>
    <w:p>
      <w:pPr>
        <w:pStyle w:val="10"/>
        <w:tabs>
          <w:tab w:val="right" w:leader="dot" w:pos="8618"/>
          <w:tab w:val="clear" w:pos="1456"/>
          <w:tab w:val="clear" w:pos="8260"/>
        </w:tabs>
        <w:snapToGrid w:val="0"/>
        <w:spacing w:line="380" w:lineRule="exact"/>
        <w:ind w:left="210" w:firstLine="220"/>
        <w:rPr>
          <w:rFonts w:ascii="仿宋_GB2312" w:hAnsi="仿宋_GB2312" w:eastAsia="仿宋_GB2312" w:cs="仿宋_GB2312"/>
          <w:bCs/>
          <w:color w:val="000000" w:themeColor="text1"/>
          <w:sz w:val="28"/>
          <w:szCs w:val="28"/>
          <w:lang w:eastAsia="zh-CN"/>
          <w14:textFill>
            <w14:solidFill>
              <w14:schemeClr w14:val="tx1"/>
            </w14:solidFill>
          </w14:textFill>
        </w:rPr>
      </w:pPr>
      <w:r>
        <w:fldChar w:fldCharType="begin"/>
      </w:r>
      <w:r>
        <w:instrText xml:space="preserve"> HYPERLINK \l "_Toc24215" </w:instrText>
      </w:r>
      <w:r>
        <w:fldChar w:fldCharType="separate"/>
      </w:r>
      <w:r>
        <w:rPr>
          <w:rFonts w:hint="eastAsia" w:ascii="仿宋_GB2312" w:hAnsi="仿宋_GB2312" w:eastAsia="仿宋_GB2312" w:cs="仿宋_GB2312"/>
          <w:bCs/>
          <w:color w:val="000000" w:themeColor="text1"/>
          <w:sz w:val="28"/>
          <w:szCs w:val="28"/>
          <w:lang w:eastAsia="zh-CN"/>
          <w14:textFill>
            <w14:solidFill>
              <w14:schemeClr w14:val="tx1"/>
            </w14:solidFill>
          </w14:textFill>
        </w:rPr>
        <w:t>（六）青年志愿提质升级工程</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ab/>
      </w:r>
      <w:r>
        <w:rPr>
          <w:rFonts w:hint="eastAsia" w:ascii="仿宋_GB2312" w:hAnsi="仿宋_GB2312" w:eastAsia="仿宋_GB2312" w:cs="仿宋_GB2312"/>
          <w:bCs/>
          <w:color w:val="000000" w:themeColor="text1"/>
          <w:sz w:val="28"/>
          <w:szCs w:val="28"/>
          <w:lang w:eastAsia="zh-CN"/>
          <w14:textFill>
            <w14:solidFill>
              <w14:schemeClr w14:val="tx1"/>
            </w14:solidFill>
          </w14:textFill>
        </w:rPr>
        <w:fldChar w:fldCharType="end"/>
      </w:r>
      <w:r>
        <w:rPr>
          <w:rFonts w:hint="eastAsia" w:ascii="仿宋_GB2312" w:hAnsi="仿宋_GB2312" w:eastAsia="仿宋_GB2312" w:cs="仿宋_GB2312"/>
          <w:bCs/>
          <w:color w:val="000000" w:themeColor="text1"/>
          <w:sz w:val="28"/>
          <w:szCs w:val="28"/>
          <w:lang w:eastAsia="zh-CN"/>
          <w14:textFill>
            <w14:solidFill>
              <w14:schemeClr w14:val="tx1"/>
            </w14:solidFill>
          </w14:textFill>
        </w:rPr>
        <w:t>29</w:t>
      </w:r>
    </w:p>
    <w:p>
      <w:pPr>
        <w:pStyle w:val="10"/>
        <w:tabs>
          <w:tab w:val="right" w:leader="dot" w:pos="8618"/>
          <w:tab w:val="clear" w:pos="1456"/>
          <w:tab w:val="clear" w:pos="8260"/>
        </w:tabs>
        <w:snapToGrid w:val="0"/>
        <w:spacing w:line="380" w:lineRule="exact"/>
        <w:ind w:left="210" w:firstLine="220"/>
        <w:rPr>
          <w:rFonts w:ascii="仿宋_GB2312" w:hAnsi="仿宋_GB2312" w:eastAsia="仿宋_GB2312" w:cs="仿宋_GB2312"/>
          <w:bCs/>
          <w:color w:val="000000" w:themeColor="text1"/>
          <w:sz w:val="28"/>
          <w:szCs w:val="28"/>
          <w:lang w:eastAsia="zh-CN"/>
          <w14:textFill>
            <w14:solidFill>
              <w14:schemeClr w14:val="tx1"/>
            </w14:solidFill>
          </w14:textFill>
        </w:rPr>
      </w:pPr>
      <w:r>
        <w:fldChar w:fldCharType="begin"/>
      </w:r>
      <w:r>
        <w:instrText xml:space="preserve"> HYPERLINK \l "_Toc24215" </w:instrText>
      </w:r>
      <w:r>
        <w:fldChar w:fldCharType="separate"/>
      </w:r>
      <w:r>
        <w:rPr>
          <w:rFonts w:hint="eastAsia" w:ascii="仿宋_GB2312" w:hAnsi="仿宋_GB2312" w:eastAsia="仿宋_GB2312" w:cs="仿宋_GB2312"/>
          <w:bCs/>
          <w:color w:val="000000" w:themeColor="text1"/>
          <w:sz w:val="28"/>
          <w:szCs w:val="28"/>
          <w:lang w:eastAsia="zh-CN"/>
          <w14:textFill>
            <w14:solidFill>
              <w14:schemeClr w14:val="tx1"/>
            </w14:solidFill>
          </w14:textFill>
        </w:rPr>
        <w:t>（七）青年创新创业筑梦工程</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ab/>
      </w:r>
      <w:r>
        <w:rPr>
          <w:rFonts w:hint="eastAsia" w:ascii="仿宋_GB2312" w:hAnsi="仿宋_GB2312" w:eastAsia="仿宋_GB2312" w:cs="仿宋_GB2312"/>
          <w:bCs/>
          <w:color w:val="000000" w:themeColor="text1"/>
          <w:sz w:val="28"/>
          <w:szCs w:val="28"/>
          <w:lang w:eastAsia="zh-CN"/>
          <w14:textFill>
            <w14:solidFill>
              <w14:schemeClr w14:val="tx1"/>
            </w14:solidFill>
          </w14:textFill>
        </w:rPr>
        <w:fldChar w:fldCharType="end"/>
      </w:r>
      <w:r>
        <w:rPr>
          <w:rFonts w:hint="eastAsia" w:ascii="仿宋_GB2312" w:hAnsi="仿宋_GB2312" w:eastAsia="仿宋_GB2312" w:cs="仿宋_GB2312"/>
          <w:bCs/>
          <w:color w:val="000000" w:themeColor="text1"/>
          <w:sz w:val="28"/>
          <w:szCs w:val="28"/>
          <w:lang w:eastAsia="zh-CN"/>
          <w14:textFill>
            <w14:solidFill>
              <w14:schemeClr w14:val="tx1"/>
            </w14:solidFill>
          </w14:textFill>
        </w:rPr>
        <w:t>30</w:t>
      </w:r>
    </w:p>
    <w:p>
      <w:pPr>
        <w:pStyle w:val="10"/>
        <w:tabs>
          <w:tab w:val="right" w:leader="dot" w:pos="8618"/>
          <w:tab w:val="clear" w:pos="1456"/>
          <w:tab w:val="clear" w:pos="8260"/>
        </w:tabs>
        <w:snapToGrid w:val="0"/>
        <w:spacing w:line="380" w:lineRule="exact"/>
        <w:ind w:left="210" w:firstLine="220"/>
        <w:rPr>
          <w:rFonts w:ascii="仿宋_GB2312" w:hAnsi="仿宋_GB2312" w:eastAsia="仿宋_GB2312" w:cs="仿宋_GB2312"/>
          <w:bCs/>
          <w:color w:val="000000" w:themeColor="text1"/>
          <w:sz w:val="28"/>
          <w:szCs w:val="28"/>
          <w:lang w:eastAsia="zh-CN"/>
          <w14:textFill>
            <w14:solidFill>
              <w14:schemeClr w14:val="tx1"/>
            </w14:solidFill>
          </w14:textFill>
        </w:rPr>
      </w:pPr>
      <w:r>
        <w:fldChar w:fldCharType="begin"/>
      </w:r>
      <w:r>
        <w:instrText xml:space="preserve"> HYPERLINK \l "_Toc24215" </w:instrText>
      </w:r>
      <w:r>
        <w:fldChar w:fldCharType="separate"/>
      </w:r>
      <w:r>
        <w:rPr>
          <w:rFonts w:hint="eastAsia" w:ascii="仿宋_GB2312" w:hAnsi="仿宋_GB2312" w:eastAsia="仿宋_GB2312" w:cs="仿宋_GB2312"/>
          <w:bCs/>
          <w:color w:val="000000" w:themeColor="text1"/>
          <w:sz w:val="28"/>
          <w:szCs w:val="28"/>
          <w:lang w:eastAsia="zh-CN"/>
          <w14:textFill>
            <w14:solidFill>
              <w14:schemeClr w14:val="tx1"/>
            </w14:solidFill>
          </w14:textFill>
        </w:rPr>
        <w:t>（八）青年合法权益护航工程</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ab/>
      </w:r>
      <w:r>
        <w:rPr>
          <w:rFonts w:hint="eastAsia" w:ascii="仿宋_GB2312" w:hAnsi="仿宋_GB2312" w:eastAsia="仿宋_GB2312" w:cs="仿宋_GB2312"/>
          <w:bCs/>
          <w:color w:val="000000" w:themeColor="text1"/>
          <w:sz w:val="28"/>
          <w:szCs w:val="28"/>
          <w:lang w:eastAsia="zh-CN"/>
          <w14:textFill>
            <w14:solidFill>
              <w14:schemeClr w14:val="tx1"/>
            </w14:solidFill>
          </w14:textFill>
        </w:rPr>
        <w:fldChar w:fldCharType="end"/>
      </w:r>
      <w:r>
        <w:rPr>
          <w:rFonts w:hint="eastAsia" w:ascii="仿宋_GB2312" w:hAnsi="仿宋_GB2312" w:eastAsia="仿宋_GB2312" w:cs="仿宋_GB2312"/>
          <w:bCs/>
          <w:color w:val="000000" w:themeColor="text1"/>
          <w:sz w:val="28"/>
          <w:szCs w:val="28"/>
          <w:lang w:eastAsia="zh-CN"/>
          <w14:textFill>
            <w14:solidFill>
              <w14:schemeClr w14:val="tx1"/>
            </w14:solidFill>
          </w14:textFill>
        </w:rPr>
        <w:t>30</w:t>
      </w:r>
    </w:p>
    <w:p>
      <w:pPr>
        <w:pStyle w:val="10"/>
        <w:tabs>
          <w:tab w:val="right" w:leader="dot" w:pos="8618"/>
          <w:tab w:val="clear" w:pos="1456"/>
          <w:tab w:val="clear" w:pos="8260"/>
        </w:tabs>
        <w:snapToGrid w:val="0"/>
        <w:spacing w:line="380" w:lineRule="exact"/>
        <w:ind w:left="210" w:firstLine="220"/>
        <w:rPr>
          <w:rFonts w:ascii="仿宋_GB2312" w:hAnsi="仿宋_GB2312" w:eastAsia="仿宋_GB2312" w:cs="仿宋_GB2312"/>
          <w:bCs/>
          <w:color w:val="000000" w:themeColor="text1"/>
          <w:sz w:val="28"/>
          <w:szCs w:val="28"/>
          <w:lang w:eastAsia="zh-CN"/>
          <w14:textFill>
            <w14:solidFill>
              <w14:schemeClr w14:val="tx1"/>
            </w14:solidFill>
          </w14:textFill>
        </w:rPr>
      </w:pPr>
      <w:r>
        <w:fldChar w:fldCharType="begin"/>
      </w:r>
      <w:r>
        <w:instrText xml:space="preserve"> HYPERLINK \l "_Toc24215" </w:instrText>
      </w:r>
      <w:r>
        <w:fldChar w:fldCharType="separate"/>
      </w:r>
      <w:r>
        <w:rPr>
          <w:rFonts w:hint="eastAsia" w:ascii="仿宋_GB2312" w:hAnsi="仿宋_GB2312" w:eastAsia="仿宋_GB2312" w:cs="仿宋_GB2312"/>
          <w:bCs/>
          <w:color w:val="000000" w:themeColor="text1"/>
          <w:sz w:val="28"/>
          <w:szCs w:val="28"/>
          <w:lang w:eastAsia="zh-CN"/>
          <w14:textFill>
            <w14:solidFill>
              <w14:schemeClr w14:val="tx1"/>
            </w14:solidFill>
          </w14:textFill>
        </w:rPr>
        <w:t>（九）基层组织建设堡垒工程</w:t>
      </w:r>
      <w:r>
        <w:rPr>
          <w:rFonts w:hint="eastAsia" w:ascii="仿宋_GB2312" w:hAnsi="仿宋_GB2312" w:eastAsia="仿宋_GB2312" w:cs="仿宋_GB2312"/>
          <w:bCs/>
          <w:color w:val="000000" w:themeColor="text1"/>
          <w:sz w:val="28"/>
          <w:szCs w:val="28"/>
          <w:lang w:eastAsia="zh-CN"/>
          <w14:textFill>
            <w14:solidFill>
              <w14:schemeClr w14:val="tx1"/>
            </w14:solidFill>
          </w14:textFill>
        </w:rPr>
        <w:tab/>
      </w:r>
      <w:r>
        <w:rPr>
          <w:rFonts w:hint="eastAsia" w:ascii="仿宋_GB2312" w:hAnsi="仿宋_GB2312" w:eastAsia="仿宋_GB2312" w:cs="仿宋_GB2312"/>
          <w:bCs/>
          <w:color w:val="000000" w:themeColor="text1"/>
          <w:sz w:val="28"/>
          <w:szCs w:val="28"/>
          <w:lang w:eastAsia="zh-CN"/>
          <w14:textFill>
            <w14:solidFill>
              <w14:schemeClr w14:val="tx1"/>
            </w14:solidFill>
          </w14:textFill>
        </w:rPr>
        <w:fldChar w:fldCharType="end"/>
      </w:r>
      <w:r>
        <w:rPr>
          <w:rFonts w:hint="eastAsia" w:ascii="仿宋_GB2312" w:hAnsi="仿宋_GB2312" w:eastAsia="仿宋_GB2312" w:cs="仿宋_GB2312"/>
          <w:bCs/>
          <w:color w:val="000000" w:themeColor="text1"/>
          <w:sz w:val="28"/>
          <w:szCs w:val="28"/>
          <w:lang w:eastAsia="zh-CN"/>
          <w14:textFill>
            <w14:solidFill>
              <w14:schemeClr w14:val="tx1"/>
            </w14:solidFill>
          </w14:textFill>
        </w:rPr>
        <w:t>31</w:t>
      </w:r>
    </w:p>
    <w:p>
      <w:pPr>
        <w:pStyle w:val="8"/>
        <w:tabs>
          <w:tab w:val="right" w:leader="dot" w:pos="8618"/>
          <w:tab w:val="clear" w:pos="980"/>
          <w:tab w:val="clear" w:pos="1260"/>
          <w:tab w:val="clear" w:pos="8260"/>
        </w:tabs>
        <w:snapToGrid w:val="0"/>
        <w:spacing w:beforeLines="0" w:line="380" w:lineRule="exact"/>
        <w:rPr>
          <w:color w:val="000000" w:themeColor="text1"/>
          <w:sz w:val="28"/>
          <w:szCs w:val="28"/>
          <w:lang w:eastAsia="zh-CN"/>
          <w14:textFill>
            <w14:solidFill>
              <w14:schemeClr w14:val="tx1"/>
            </w14:solidFill>
          </w14:textFill>
        </w:rPr>
      </w:pPr>
      <w:r>
        <w:fldChar w:fldCharType="begin"/>
      </w:r>
      <w:r>
        <w:instrText xml:space="preserve"> HYPERLINK \l "_Toc10334" </w:instrText>
      </w:r>
      <w:r>
        <w:fldChar w:fldCharType="separate"/>
      </w:r>
      <w:r>
        <w:rPr>
          <w:rFonts w:hint="eastAsia" w:ascii="黑体" w:hAnsi="黑体" w:eastAsia="黑体" w:cs="黑体"/>
          <w:bCs/>
          <w:color w:val="000000" w:themeColor="text1"/>
          <w:sz w:val="28"/>
          <w:szCs w:val="28"/>
          <w:lang w:eastAsia="zh-CN"/>
          <w14:textFill>
            <w14:solidFill>
              <w14:schemeClr w14:val="tx1"/>
            </w14:solidFill>
          </w14:textFill>
        </w:rPr>
        <w:t>五、组织实施</w:t>
      </w:r>
      <w:r>
        <w:rPr>
          <w:rFonts w:hint="eastAsia" w:ascii="黑体" w:hAnsi="黑体" w:eastAsia="黑体" w:cs="黑体"/>
          <w:bCs/>
          <w:color w:val="000000" w:themeColor="text1"/>
          <w:sz w:val="28"/>
          <w:szCs w:val="28"/>
          <w:lang w:eastAsia="zh-CN"/>
          <w14:textFill>
            <w14:solidFill>
              <w14:schemeClr w14:val="tx1"/>
            </w14:solidFill>
          </w14:textFill>
        </w:rPr>
        <w:fldChar w:fldCharType="end"/>
      </w:r>
    </w:p>
    <w:p>
      <w:pPr>
        <w:pStyle w:val="10"/>
        <w:tabs>
          <w:tab w:val="right" w:leader="dot" w:pos="8618"/>
          <w:tab w:val="clear" w:pos="1456"/>
          <w:tab w:val="clear" w:pos="8260"/>
        </w:tabs>
        <w:snapToGrid w:val="0"/>
        <w:spacing w:line="380" w:lineRule="exact"/>
        <w:ind w:left="210" w:firstLine="220"/>
        <w:rPr>
          <w:rFonts w:ascii="仿宋_GB2312" w:eastAsia="仿宋_GB2312"/>
          <w:color w:val="000000" w:themeColor="text1"/>
          <w:sz w:val="28"/>
          <w:szCs w:val="28"/>
          <w:lang w:eastAsia="zh-CN"/>
          <w14:textFill>
            <w14:solidFill>
              <w14:schemeClr w14:val="tx1"/>
            </w14:solidFill>
          </w14:textFill>
        </w:rPr>
      </w:pPr>
      <w:r>
        <w:fldChar w:fldCharType="begin"/>
      </w:r>
      <w:r>
        <w:instrText xml:space="preserve"> HYPERLINK \l "_Toc4834" </w:instrText>
      </w:r>
      <w:r>
        <w:fldChar w:fldCharType="separate"/>
      </w:r>
      <w:r>
        <w:rPr>
          <w:rFonts w:hint="eastAsia" w:ascii="仿宋_GB2312" w:hAnsi="仿宋_GB2312" w:eastAsia="仿宋_GB2312" w:cs="仿宋_GB2312"/>
          <w:bCs/>
          <w:color w:val="000000" w:themeColor="text1"/>
          <w:sz w:val="28"/>
          <w:szCs w:val="28"/>
          <w:lang w:eastAsia="zh-CN"/>
          <w14:textFill>
            <w14:solidFill>
              <w14:schemeClr w14:val="tx1"/>
            </w14:solidFill>
          </w14:textFill>
        </w:rPr>
        <w:t>（一）加强实施组织领导</w:t>
      </w:r>
      <w:r>
        <w:rPr>
          <w:rFonts w:hint="eastAsia" w:ascii="仿宋_GB2312" w:eastAsia="仿宋_GB2312"/>
          <w:color w:val="000000" w:themeColor="text1"/>
          <w:sz w:val="28"/>
          <w:szCs w:val="28"/>
          <w:lang w:eastAsia="zh-CN"/>
          <w14:textFill>
            <w14:solidFill>
              <w14:schemeClr w14:val="tx1"/>
            </w14:solidFill>
          </w14:textFill>
        </w:rPr>
        <w:tab/>
      </w:r>
      <w:r>
        <w:rPr>
          <w:rFonts w:hint="eastAsia" w:ascii="仿宋_GB2312" w:eastAsia="仿宋_GB2312"/>
          <w:color w:val="000000" w:themeColor="text1"/>
          <w:sz w:val="28"/>
          <w:szCs w:val="28"/>
          <w:lang w:eastAsia="zh-CN"/>
          <w14:textFill>
            <w14:solidFill>
              <w14:schemeClr w14:val="tx1"/>
            </w14:solidFill>
          </w14:textFill>
        </w:rPr>
        <w:fldChar w:fldCharType="end"/>
      </w:r>
      <w:r>
        <w:rPr>
          <w:rFonts w:hint="eastAsia" w:ascii="仿宋_GB2312" w:eastAsia="仿宋_GB2312"/>
          <w:color w:val="000000" w:themeColor="text1"/>
          <w:sz w:val="28"/>
          <w:szCs w:val="28"/>
          <w:lang w:eastAsia="zh-CN"/>
          <w14:textFill>
            <w14:solidFill>
              <w14:schemeClr w14:val="tx1"/>
            </w14:solidFill>
          </w14:textFill>
        </w:rPr>
        <w:t>32</w:t>
      </w:r>
    </w:p>
    <w:p>
      <w:pPr>
        <w:pStyle w:val="10"/>
        <w:tabs>
          <w:tab w:val="right" w:leader="dot" w:pos="8618"/>
          <w:tab w:val="clear" w:pos="1456"/>
          <w:tab w:val="clear" w:pos="8260"/>
        </w:tabs>
        <w:snapToGrid w:val="0"/>
        <w:spacing w:line="380" w:lineRule="exact"/>
        <w:ind w:left="210" w:firstLine="220"/>
        <w:rPr>
          <w:rFonts w:ascii="仿宋_GB2312" w:eastAsia="仿宋_GB2312"/>
          <w:color w:val="000000" w:themeColor="text1"/>
          <w:sz w:val="28"/>
          <w:szCs w:val="28"/>
          <w:lang w:eastAsia="zh-CN"/>
          <w14:textFill>
            <w14:solidFill>
              <w14:schemeClr w14:val="tx1"/>
            </w14:solidFill>
          </w14:textFill>
        </w:rPr>
      </w:pPr>
      <w:r>
        <w:fldChar w:fldCharType="begin"/>
      </w:r>
      <w:r>
        <w:instrText xml:space="preserve"> HYPERLINK \l "_Toc124" </w:instrText>
      </w:r>
      <w:r>
        <w:fldChar w:fldCharType="separate"/>
      </w:r>
      <w:r>
        <w:rPr>
          <w:rFonts w:hint="eastAsia" w:ascii="仿宋_GB2312" w:hAnsi="仿宋_GB2312" w:eastAsia="仿宋_GB2312" w:cs="仿宋_GB2312"/>
          <w:bCs/>
          <w:color w:val="000000" w:themeColor="text1"/>
          <w:sz w:val="28"/>
          <w:szCs w:val="28"/>
          <w:lang w:eastAsia="zh-CN"/>
          <w14:textFill>
            <w14:solidFill>
              <w14:schemeClr w14:val="tx1"/>
            </w14:solidFill>
          </w14:textFill>
        </w:rPr>
        <w:t>（二）健全工作推进机制</w:t>
      </w:r>
      <w:r>
        <w:rPr>
          <w:rFonts w:hint="eastAsia" w:ascii="仿宋_GB2312" w:eastAsia="仿宋_GB2312"/>
          <w:color w:val="000000" w:themeColor="text1"/>
          <w:sz w:val="28"/>
          <w:szCs w:val="28"/>
          <w:lang w:eastAsia="zh-CN"/>
          <w14:textFill>
            <w14:solidFill>
              <w14:schemeClr w14:val="tx1"/>
            </w14:solidFill>
          </w14:textFill>
        </w:rPr>
        <w:tab/>
      </w:r>
      <w:r>
        <w:rPr>
          <w:rFonts w:hint="eastAsia" w:ascii="仿宋_GB2312" w:eastAsia="仿宋_GB2312"/>
          <w:color w:val="000000" w:themeColor="text1"/>
          <w:sz w:val="28"/>
          <w:szCs w:val="28"/>
          <w:lang w:eastAsia="zh-CN"/>
          <w14:textFill>
            <w14:solidFill>
              <w14:schemeClr w14:val="tx1"/>
            </w14:solidFill>
          </w14:textFill>
        </w:rPr>
        <w:fldChar w:fldCharType="end"/>
      </w:r>
      <w:r>
        <w:rPr>
          <w:rFonts w:hint="eastAsia" w:ascii="仿宋_GB2312" w:eastAsia="仿宋_GB2312"/>
          <w:color w:val="000000" w:themeColor="text1"/>
          <w:sz w:val="28"/>
          <w:szCs w:val="28"/>
          <w:lang w:eastAsia="zh-CN"/>
          <w14:textFill>
            <w14:solidFill>
              <w14:schemeClr w14:val="tx1"/>
            </w14:solidFill>
          </w14:textFill>
        </w:rPr>
        <w:t>32</w:t>
      </w:r>
    </w:p>
    <w:p>
      <w:pPr>
        <w:pStyle w:val="10"/>
        <w:tabs>
          <w:tab w:val="right" w:leader="dot" w:pos="8618"/>
          <w:tab w:val="clear" w:pos="1456"/>
          <w:tab w:val="clear" w:pos="8260"/>
        </w:tabs>
        <w:snapToGrid w:val="0"/>
        <w:spacing w:line="380" w:lineRule="exact"/>
        <w:ind w:left="210" w:firstLine="220"/>
        <w:rPr>
          <w:rFonts w:ascii="仿宋_GB2312" w:eastAsia="仿宋_GB2312"/>
          <w:color w:val="000000" w:themeColor="text1"/>
          <w:sz w:val="28"/>
          <w:szCs w:val="28"/>
          <w:lang w:eastAsia="zh-CN"/>
          <w14:textFill>
            <w14:solidFill>
              <w14:schemeClr w14:val="tx1"/>
            </w14:solidFill>
          </w14:textFill>
        </w:rPr>
      </w:pPr>
      <w:r>
        <w:fldChar w:fldCharType="begin"/>
      </w:r>
      <w:r>
        <w:instrText xml:space="preserve"> HYPERLINK \l "_Toc25138" </w:instrText>
      </w:r>
      <w:r>
        <w:fldChar w:fldCharType="separate"/>
      </w:r>
      <w:r>
        <w:rPr>
          <w:rFonts w:hint="eastAsia" w:ascii="仿宋_GB2312" w:hAnsi="仿宋_GB2312" w:eastAsia="仿宋_GB2312" w:cs="仿宋_GB2312"/>
          <w:bCs/>
          <w:color w:val="000000" w:themeColor="text1"/>
          <w:sz w:val="28"/>
          <w:szCs w:val="28"/>
          <w:lang w:eastAsia="zh-CN"/>
          <w14:textFill>
            <w14:solidFill>
              <w14:schemeClr w14:val="tx1"/>
            </w14:solidFill>
          </w14:textFill>
        </w:rPr>
        <w:t>（三）加大保障经费投入</w:t>
      </w:r>
      <w:r>
        <w:rPr>
          <w:rFonts w:hint="eastAsia" w:ascii="仿宋_GB2312" w:eastAsia="仿宋_GB2312"/>
          <w:color w:val="000000" w:themeColor="text1"/>
          <w:sz w:val="28"/>
          <w:szCs w:val="28"/>
          <w:lang w:eastAsia="zh-CN"/>
          <w14:textFill>
            <w14:solidFill>
              <w14:schemeClr w14:val="tx1"/>
            </w14:solidFill>
          </w14:textFill>
        </w:rPr>
        <w:tab/>
      </w:r>
      <w:r>
        <w:rPr>
          <w:rFonts w:hint="eastAsia" w:ascii="仿宋_GB2312" w:eastAsia="仿宋_GB2312"/>
          <w:color w:val="000000" w:themeColor="text1"/>
          <w:sz w:val="28"/>
          <w:szCs w:val="28"/>
          <w:lang w:eastAsia="zh-CN"/>
          <w14:textFill>
            <w14:solidFill>
              <w14:schemeClr w14:val="tx1"/>
            </w14:solidFill>
          </w14:textFill>
        </w:rPr>
        <w:fldChar w:fldCharType="end"/>
      </w:r>
      <w:r>
        <w:rPr>
          <w:rFonts w:hint="eastAsia" w:ascii="仿宋_GB2312" w:eastAsia="仿宋_GB2312"/>
          <w:color w:val="000000" w:themeColor="text1"/>
          <w:sz w:val="28"/>
          <w:szCs w:val="28"/>
          <w:lang w:eastAsia="zh-CN"/>
          <w14:textFill>
            <w14:solidFill>
              <w14:schemeClr w14:val="tx1"/>
            </w14:solidFill>
          </w14:textFill>
        </w:rPr>
        <w:t>32</w:t>
      </w:r>
    </w:p>
    <w:p>
      <w:pPr>
        <w:pStyle w:val="10"/>
        <w:tabs>
          <w:tab w:val="right" w:leader="dot" w:pos="8618"/>
          <w:tab w:val="clear" w:pos="1456"/>
          <w:tab w:val="clear" w:pos="8260"/>
        </w:tabs>
        <w:snapToGrid w:val="0"/>
        <w:spacing w:line="380" w:lineRule="exact"/>
        <w:ind w:left="210" w:firstLine="220"/>
        <w:rPr>
          <w:rFonts w:ascii="仿宋_GB2312" w:hAnsi="仿宋_GB2312" w:eastAsia="仿宋_GB2312" w:cs="仿宋_GB2312"/>
          <w:bCs/>
          <w:color w:val="000000" w:themeColor="text1"/>
          <w:sz w:val="28"/>
          <w:szCs w:val="28"/>
          <w:lang w:eastAsia="zh-CN"/>
          <w14:textFill>
            <w14:solidFill>
              <w14:schemeClr w14:val="tx1"/>
            </w14:solidFill>
          </w14:textFill>
        </w:rPr>
      </w:pPr>
      <w:r>
        <w:fldChar w:fldCharType="begin"/>
      </w:r>
      <w:r>
        <w:instrText xml:space="preserve"> HYPERLINK \l "_Toc26546" </w:instrText>
      </w:r>
      <w:r>
        <w:fldChar w:fldCharType="separate"/>
      </w:r>
      <w:r>
        <w:rPr>
          <w:rFonts w:hint="eastAsia" w:ascii="仿宋_GB2312" w:hAnsi="仿宋_GB2312" w:eastAsia="仿宋_GB2312" w:cs="仿宋_GB2312"/>
          <w:bCs/>
          <w:color w:val="000000" w:themeColor="text1"/>
          <w:sz w:val="28"/>
          <w:szCs w:val="28"/>
          <w:lang w:eastAsia="zh-CN"/>
          <w14:textFill>
            <w14:solidFill>
              <w14:schemeClr w14:val="tx1"/>
            </w14:solidFill>
          </w14:textFill>
        </w:rPr>
        <w:t>（四）优化规划实施环境</w:t>
      </w:r>
      <w:r>
        <w:rPr>
          <w:rFonts w:hint="eastAsia" w:ascii="仿宋_GB2312" w:eastAsia="仿宋_GB2312"/>
          <w:color w:val="000000" w:themeColor="text1"/>
          <w:sz w:val="28"/>
          <w:szCs w:val="28"/>
          <w:lang w:eastAsia="zh-CN"/>
          <w14:textFill>
            <w14:solidFill>
              <w14:schemeClr w14:val="tx1"/>
            </w14:solidFill>
          </w14:textFill>
        </w:rPr>
        <w:tab/>
      </w:r>
      <w:r>
        <w:rPr>
          <w:rFonts w:hint="eastAsia" w:ascii="仿宋_GB2312" w:eastAsia="仿宋_GB2312"/>
          <w:color w:val="000000" w:themeColor="text1"/>
          <w:sz w:val="28"/>
          <w:szCs w:val="28"/>
          <w:lang w:eastAsia="zh-CN"/>
          <w14:textFill>
            <w14:solidFill>
              <w14:schemeClr w14:val="tx1"/>
            </w14:solidFill>
          </w14:textFill>
        </w:rPr>
        <w:fldChar w:fldCharType="end"/>
      </w:r>
      <w:r>
        <w:rPr>
          <w:rFonts w:hint="eastAsia" w:ascii="仿宋_GB2312" w:eastAsia="仿宋_GB2312"/>
          <w:color w:val="000000" w:themeColor="text1"/>
          <w:sz w:val="28"/>
          <w:szCs w:val="28"/>
          <w:lang w:eastAsia="zh-CN"/>
          <w14:textFill>
            <w14:solidFill>
              <w14:schemeClr w14:val="tx1"/>
            </w14:solidFill>
          </w14:textFill>
        </w:rPr>
        <w:t>32</w:t>
      </w:r>
    </w:p>
    <w:p>
      <w:pPr>
        <w:pStyle w:val="10"/>
        <w:tabs>
          <w:tab w:val="right" w:leader="dot" w:pos="8618"/>
          <w:tab w:val="clear" w:pos="1456"/>
          <w:tab w:val="clear" w:pos="8260"/>
        </w:tabs>
        <w:snapToGrid w:val="0"/>
        <w:spacing w:line="380" w:lineRule="exact"/>
        <w:ind w:left="210" w:firstLine="220"/>
        <w:rPr>
          <w:rFonts w:ascii="仿宋_GB2312" w:eastAsia="仿宋_GB2312"/>
          <w:color w:val="000000" w:themeColor="text1"/>
          <w:sz w:val="28"/>
          <w:szCs w:val="28"/>
          <w:lang w:eastAsia="zh-CN"/>
          <w14:textFill>
            <w14:solidFill>
              <w14:schemeClr w14:val="tx1"/>
            </w14:solidFill>
          </w14:textFill>
        </w:rPr>
      </w:pPr>
      <w:r>
        <w:fldChar w:fldCharType="begin"/>
      </w:r>
      <w:r>
        <w:instrText xml:space="preserve"> HYPERLINK \l "_Toc26546" </w:instrText>
      </w:r>
      <w:r>
        <w:fldChar w:fldCharType="separate"/>
      </w:r>
      <w:r>
        <w:rPr>
          <w:rFonts w:hint="eastAsia" w:ascii="仿宋_GB2312" w:hAnsi="仿宋_GB2312" w:eastAsia="仿宋_GB2312" w:cs="仿宋_GB2312"/>
          <w:bCs/>
          <w:color w:val="000000" w:themeColor="text1"/>
          <w:sz w:val="28"/>
          <w:szCs w:val="28"/>
          <w:lang w:eastAsia="zh-CN"/>
          <w14:textFill>
            <w14:solidFill>
              <w14:schemeClr w14:val="tx1"/>
            </w14:solidFill>
          </w14:textFill>
        </w:rPr>
        <w:t>（五）建立评估监测体系</w:t>
      </w:r>
      <w:r>
        <w:rPr>
          <w:rFonts w:hint="eastAsia" w:ascii="仿宋_GB2312" w:eastAsia="仿宋_GB2312"/>
          <w:color w:val="000000" w:themeColor="text1"/>
          <w:sz w:val="28"/>
          <w:szCs w:val="28"/>
          <w:lang w:eastAsia="zh-CN"/>
          <w14:textFill>
            <w14:solidFill>
              <w14:schemeClr w14:val="tx1"/>
            </w14:solidFill>
          </w14:textFill>
        </w:rPr>
        <w:tab/>
      </w:r>
      <w:r>
        <w:rPr>
          <w:rFonts w:hint="eastAsia" w:ascii="仿宋_GB2312" w:eastAsia="仿宋_GB2312"/>
          <w:color w:val="000000" w:themeColor="text1"/>
          <w:sz w:val="28"/>
          <w:szCs w:val="28"/>
          <w:lang w:eastAsia="zh-CN"/>
          <w14:textFill>
            <w14:solidFill>
              <w14:schemeClr w14:val="tx1"/>
            </w14:solidFill>
          </w14:textFill>
        </w:rPr>
        <w:fldChar w:fldCharType="end"/>
      </w:r>
      <w:r>
        <w:rPr>
          <w:rFonts w:hint="eastAsia" w:ascii="仿宋_GB2312" w:eastAsia="仿宋_GB2312"/>
          <w:color w:val="000000" w:themeColor="text1"/>
          <w:sz w:val="28"/>
          <w:szCs w:val="28"/>
          <w:lang w:eastAsia="zh-CN"/>
          <w14:textFill>
            <w14:solidFill>
              <w14:schemeClr w14:val="tx1"/>
            </w14:solidFill>
          </w14:textFill>
        </w:rPr>
        <w:t>33</w:t>
      </w:r>
    </w:p>
    <w:p>
      <w:pPr>
        <w:spacing w:line="600" w:lineRule="exact"/>
        <w:rPr>
          <w:rFonts w:ascii="仿宋_GB2312" w:hAnsi="仿宋_GB2312" w:cs="仿宋_GB2312"/>
          <w:bCs/>
          <w:color w:val="000000" w:themeColor="text1"/>
          <w:sz w:val="28"/>
          <w:szCs w:val="28"/>
          <w14:textFill>
            <w14:solidFill>
              <w14:schemeClr w14:val="tx1"/>
            </w14:solidFill>
          </w14:textFill>
        </w:rPr>
        <w:sectPr>
          <w:pgSz w:w="11906" w:h="16838"/>
          <w:pgMar w:top="1134" w:right="1797" w:bottom="1418" w:left="1797" w:header="851" w:footer="992" w:gutter="0"/>
          <w:pgNumType w:fmt="numberInDash" w:start="0"/>
          <w:cols w:space="720" w:num="1"/>
          <w:docGrid w:type="lines" w:linePitch="312" w:charSpace="0"/>
        </w:sectPr>
      </w:pPr>
    </w:p>
    <w:p>
      <w:pPr>
        <w:spacing w:line="600" w:lineRule="exact"/>
        <w:jc w:val="center"/>
        <w:rPr>
          <w:rFonts w:ascii="方正小标宋简体" w:hAnsi="黑体" w:eastAsia="方正小标宋简体" w:cs="方正小标宋简体"/>
          <w:sz w:val="44"/>
          <w:szCs w:val="44"/>
        </w:rPr>
      </w:pPr>
      <w:r>
        <w:rPr>
          <w:rFonts w:hint="eastAsia" w:ascii="仿宋_GB2312" w:hAnsi="仿宋_GB2312" w:cs="仿宋_GB2312"/>
          <w:bCs/>
          <w:color w:val="000000" w:themeColor="text1"/>
          <w:sz w:val="28"/>
          <w:szCs w:val="28"/>
          <w14:textFill>
            <w14:solidFill>
              <w14:schemeClr w14:val="tx1"/>
            </w14:solidFill>
          </w14:textFill>
        </w:rPr>
        <w:fldChar w:fldCharType="end"/>
      </w:r>
      <w:r>
        <w:rPr>
          <w:rFonts w:hint="eastAsia" w:ascii="方正小标宋简体" w:hAnsi="黑体" w:eastAsia="方正小标宋简体" w:cs="方正小标宋简体"/>
          <w:sz w:val="44"/>
          <w:szCs w:val="44"/>
        </w:rPr>
        <w:t>仙居县青年发展“十四五”规划</w:t>
      </w:r>
    </w:p>
    <w:p>
      <w:pPr>
        <w:spacing w:line="600" w:lineRule="exact"/>
        <w:jc w:val="center"/>
        <w:rPr>
          <w:rFonts w:ascii="楷体_GB2312" w:hAnsi="方正小标宋简体" w:eastAsia="楷体_GB2312" w:cs="方正小标宋简体"/>
          <w:color w:val="000000" w:themeColor="text1"/>
          <w:spacing w:val="34"/>
          <w:sz w:val="32"/>
          <w:szCs w:val="32"/>
          <w14:textFill>
            <w14:solidFill>
              <w14:schemeClr w14:val="tx1"/>
            </w14:solidFill>
          </w14:textFill>
        </w:rPr>
      </w:pPr>
      <w:r>
        <w:rPr>
          <w:rFonts w:hint="eastAsia" w:ascii="楷体_GB2312" w:hAnsi="方正小标宋简体" w:eastAsia="楷体_GB2312" w:cs="方正小标宋简体"/>
          <w:color w:val="000000" w:themeColor="text1"/>
          <w:spacing w:val="34"/>
          <w:sz w:val="32"/>
          <w:szCs w:val="32"/>
          <w14:textFill>
            <w14:solidFill>
              <w14:schemeClr w14:val="tx1"/>
            </w14:solidFill>
          </w14:textFill>
        </w:rPr>
        <w:t>（2021-2025年）</w:t>
      </w:r>
    </w:p>
    <w:p>
      <w:pPr>
        <w:spacing w:line="600" w:lineRule="exact"/>
        <w:rPr>
          <w:rFonts w:ascii="仿宋_GB2312" w:hAnsi="黑体" w:eastAsia="仿宋_GB2312" w:cs="方正小标宋简体"/>
          <w:sz w:val="44"/>
          <w:szCs w:val="44"/>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青年兴则民族兴，青年强则国家强。青年是祖国的未来、民族的希望，也是我们党的未来和希望。在仙居对标“重要窗口”新目标新定位,打造高质量发展建设共同富裕示范区山区样板，建设现代化中国山水画城市的征程中，青年是生力军和中坚力量。促进青年更好地成长、更快地发展，也是仙居的基础性、战略性工程。依据《国家中长期青年发展规划（2016—2025年）》《浙江省中长期青年发展规划（2017—2025年）》《台州市青年发展“十四五”规划（2021—2025年）》，按照全县经济社会发展的总体目标和要求，结合青年发展的实际情况，特制定本规划。</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本规划所指的青年，年龄范围是14-35周岁（规划中涉及的婚姻、就业、未成年人保护等领域时，年龄界限依据有关法律法规的规定）。</w:t>
      </w:r>
    </w:p>
    <w:p>
      <w:pPr>
        <w:spacing w:line="600" w:lineRule="exact"/>
        <w:ind w:firstLine="699" w:firstLineChars="249"/>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一、发展背景</w:t>
      </w:r>
    </w:p>
    <w:p>
      <w:pPr>
        <w:spacing w:line="600" w:lineRule="exact"/>
        <w:ind w:firstLine="481" w:firstLineChars="150"/>
        <w:rPr>
          <w:rFonts w:ascii="仿宋_GB2312" w:hAnsi="仿宋_GB2312" w:eastAsia="仿宋_GB2312" w:cs="仿宋_GB2312"/>
          <w:b/>
          <w:sz w:val="32"/>
          <w:szCs w:val="32"/>
        </w:rPr>
      </w:pPr>
      <w:r>
        <w:rPr>
          <w:rFonts w:hint="eastAsia" w:ascii="仿宋_GB2312" w:hAnsi="仿宋_GB2312" w:eastAsia="仿宋_GB2312" w:cs="仿宋_GB2312"/>
          <w:b/>
          <w:sz w:val="32"/>
          <w:szCs w:val="32"/>
        </w:rPr>
        <w:t>（一）基本情况</w:t>
      </w:r>
    </w:p>
    <w:p>
      <w:pPr>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1.青年向县城中心集聚趋势明显。</w:t>
      </w:r>
      <w:r>
        <w:rPr>
          <w:rFonts w:hint="eastAsia" w:ascii="仿宋_GB2312" w:hAnsi="仿宋_GB2312" w:eastAsia="仿宋_GB2312" w:cs="仿宋_GB2312"/>
          <w:sz w:val="32"/>
          <w:szCs w:val="32"/>
        </w:rPr>
        <w:t>随着城镇化的发展，作为就业人口和流动人口的主力，青年向仙居县城中心集聚的趋势不断增强，县城中心对青年的吸引力、感召力持续增强。据2020年数据统计，全县常住人口约为43.19万人，其中青年常住人口约为10.6万人，福应、南峰、安洲3个街道青年常住人口约为3.6万，集聚了全县34%的青年常住人口。</w:t>
      </w:r>
    </w:p>
    <w:p>
      <w:pPr>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2.青年发展需求呈现多元化趋势</w:t>
      </w:r>
      <w:r>
        <w:rPr>
          <w:rFonts w:hint="eastAsia" w:ascii="仿宋_GB2312" w:hAnsi="仿宋_GB2312" w:eastAsia="仿宋_GB2312" w:cs="仿宋_GB2312"/>
          <w:sz w:val="32"/>
          <w:szCs w:val="32"/>
        </w:rPr>
        <w:t>。当代仙居青年具有受教育水平高、思想观念开放、行为举止更活跃、接受新生事物强、社会价值取向多元等特征。青年群体内部因城乡、区域、职业、文化等差异以及年代变化等影响，在身份认同、生活方式、消费模式、婚恋观念等方面表现出一定差异性，青年群体的需求呈现出日益多元化的趋势。</w:t>
      </w:r>
    </w:p>
    <w:p>
      <w:pPr>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3.青年“网络化生存”渐成常态。</w:t>
      </w:r>
      <w:r>
        <w:rPr>
          <w:rFonts w:hint="eastAsia" w:ascii="仿宋_GB2312" w:hAnsi="仿宋_GB2312" w:eastAsia="仿宋_GB2312" w:cs="仿宋_GB2312"/>
          <w:sz w:val="32"/>
          <w:szCs w:val="32"/>
        </w:rPr>
        <w:t>当代仙居青年是伴随着互联网成长的“网生代”，是信息时代的主力军。网络作为青年全员喜闻乐见、易于接受的时尚事物，了解社会、感知世界最为主要的信息渠道，已经深度地融入和渗透到青年成长发展的全过程，对青年的生活方式、求知途径、思维方式、价值观念等产生着重要影响。同时，青年也是网络社会的主要塑造者和推动者，基于互联网进行的创新创业、政治参与、文化创作、社会互助等实践，为互联网发展提供了青年智慧、汇聚了青年力量。</w:t>
      </w:r>
    </w:p>
    <w:p>
      <w:pPr>
        <w:spacing w:line="600" w:lineRule="exact"/>
        <w:ind w:firstLine="481" w:firstLineChars="150"/>
        <w:rPr>
          <w:rFonts w:ascii="仿宋_GB2312" w:hAnsi="仿宋_GB2312" w:eastAsia="仿宋_GB2312" w:cs="仿宋_GB2312"/>
          <w:b/>
          <w:sz w:val="32"/>
          <w:szCs w:val="32"/>
        </w:rPr>
      </w:pPr>
      <w:r>
        <w:rPr>
          <w:rFonts w:hint="eastAsia" w:ascii="仿宋_GB2312" w:hAnsi="仿宋_GB2312" w:eastAsia="仿宋_GB2312" w:cs="仿宋_GB2312"/>
          <w:b/>
          <w:sz w:val="32"/>
          <w:szCs w:val="32"/>
        </w:rPr>
        <w:t>（二）发展基础</w:t>
      </w:r>
    </w:p>
    <w:p>
      <w:pPr>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1.青年成长发展重视程度不断提升。</w:t>
      </w:r>
      <w:r>
        <w:rPr>
          <w:rFonts w:hint="eastAsia" w:ascii="仿宋_GB2312" w:hAnsi="仿宋_GB2312" w:eastAsia="仿宋_GB2312" w:cs="仿宋_GB2312"/>
          <w:sz w:val="32"/>
          <w:szCs w:val="32"/>
        </w:rPr>
        <w:t>各级党委、政府对青年发展和青年工作历来都高度重视，近年来，相继出台了各层级的中长期青年发展规划，颁发了各种惠及青年的政策制度，青年工作共识和合力不断增强，在创新创业、人才引培、公共服务、权益保障等方面出台政策措施向青年群体倾斜。相继出台了《仙居县关于做好普通高等学校毕业生就业创业工作的实施意见》《关于支持大众创业促进就业的实施意见》《仙居人才新政三十五条》《“仙燕归巢”高校毕业生“回留”长效机制建设实施方案》《仙居县优秀人才享受国有景区旅游优惠方案》等文件，精心组织了“青春建功新时代”“青年创业伙伴计划”“青春助力优化营商环境十大行动”“新农人培育计划”“村村都有好青年”等服务青年发展的行动，全县上下关心、关注、关爱青年的氛围日渐浓厚。</w:t>
      </w:r>
    </w:p>
    <w:p>
      <w:pPr>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2.青年服务大局能力持续提升。</w:t>
      </w:r>
      <w:r>
        <w:rPr>
          <w:rFonts w:hint="eastAsia" w:ascii="仿宋_GB2312" w:hAnsi="仿宋_GB2312" w:eastAsia="仿宋_GB2312" w:cs="仿宋_GB2312"/>
          <w:sz w:val="32"/>
          <w:szCs w:val="32"/>
        </w:rPr>
        <w:t>围绕县委、县政府部署，各界青年积极投身仙居经济社会发展大局，主动参与共同富裕、乡村振兴、创业创新、疫情防控、数字化改革等中心工作，生力军和突击队作用在实践中得到充分发挥。青年志愿服务“活动公益化、公益项目化、项目品牌化、品牌本土化”的体系逐渐形成，青年志愿服务队伍不断壮大。目前，全县比较活跃的志愿者有3万多人，志愿者组织达到280多个</w:t>
      </w:r>
      <w:r>
        <w:rPr>
          <w:rStyle w:val="20"/>
          <w:rFonts w:hint="eastAsia" w:ascii="仿宋_GB2312" w:hAnsi="仿宋_GB2312" w:eastAsia="仿宋_GB2312" w:cs="仿宋_GB2312"/>
          <w:sz w:val="32"/>
          <w:szCs w:val="32"/>
        </w:rPr>
        <w:footnoteReference w:id="0"/>
      </w:r>
      <w:r>
        <w:rPr>
          <w:rFonts w:hint="eastAsia" w:ascii="仿宋_GB2312" w:hAnsi="仿宋_GB2312" w:eastAsia="仿宋_GB2312" w:cs="仿宋_GB2312"/>
          <w:sz w:val="32"/>
          <w:szCs w:val="32"/>
        </w:rPr>
        <w:t>，志愿者注册率位居全市前列，每年累计为社会提供服务时长达4万多小时。</w:t>
      </w:r>
    </w:p>
    <w:p>
      <w:pPr>
        <w:adjustRightInd w:val="0"/>
        <w:snapToGrid w:val="0"/>
        <w:spacing w:line="600" w:lineRule="exact"/>
        <w:ind w:firstLine="642"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sz w:val="32"/>
          <w:szCs w:val="32"/>
        </w:rPr>
        <w:t>3.青年成长成才环境明显得到改善。</w:t>
      </w:r>
      <w:r>
        <w:rPr>
          <w:rFonts w:hint="eastAsia" w:ascii="仿宋_GB2312" w:hAnsi="仿宋_GB2312" w:eastAsia="仿宋_GB2312" w:cs="仿宋_GB2312"/>
          <w:sz w:val="32"/>
          <w:szCs w:val="32"/>
        </w:rPr>
        <w:t>全县上下始终聚焦青年发展需求，服务青年成长成才。围绕“亲青”四大平台，持续做实、做精青少年关爱品牌。近年来，授牌16家“亲青恋”活动基地，“亲青筹”平台参与青年达1797人，“亲青帮”平台宣传推广活动达22场次，覆盖全县7000多名青少年</w:t>
      </w:r>
      <w:r>
        <w:rPr>
          <w:rStyle w:val="20"/>
          <w:rFonts w:hint="eastAsia" w:ascii="仿宋_GB2312" w:hAnsi="仿宋_GB2312" w:eastAsia="仿宋_GB2312" w:cs="仿宋_GB2312"/>
          <w:sz w:val="32"/>
          <w:szCs w:val="32"/>
        </w:rPr>
        <w:footnoteReference w:id="1"/>
      </w:r>
      <w:r>
        <w:rPr>
          <w:rFonts w:hint="eastAsia" w:ascii="仿宋_GB2312" w:hAnsi="仿宋_GB2312" w:eastAsia="仿宋_GB2312" w:cs="仿宋_GB2312"/>
          <w:sz w:val="32"/>
          <w:szCs w:val="32"/>
        </w:rPr>
        <w:t>。共青团“线上+线下”阵地相融合，服务青年“最后一公里”不断推进。新建“青年之家”15家，开展各类活动100多场，参与青年25000余人次。县青少年活动中心影响力持续扩大，目前，县青少年活动中心常年开设班次超过80个，类别20余个，全年招生超过4200多人次，每年服务青少年达6.8万人次。</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(三)面临形势</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bookmarkStart w:id="0" w:name="_Toc3061"/>
      <w:bookmarkStart w:id="1" w:name="_Toc29387"/>
      <w:bookmarkStart w:id="2" w:name="_Toc22658"/>
      <w:bookmarkStart w:id="3" w:name="_Toc690"/>
      <w:bookmarkStart w:id="4" w:name="_Toc3167"/>
      <w:r>
        <w:rPr>
          <w:rFonts w:hint="eastAsia" w:ascii="仿宋_GB2312" w:hAnsi="仿宋_GB2312" w:eastAsia="仿宋_GB2312" w:cs="仿宋_GB2312"/>
          <w:sz w:val="32"/>
          <w:szCs w:val="32"/>
        </w:rPr>
        <w:t>当前，仙居青年总体健康向上，成长发展有着较好的基础，但全县青年发展也面临众多挑战和难题。1.青少年培育和践行社会主义核心价值观的时代性、针对性和实效性有待加强；2.青年人才的“引育留用”体制机制还不够完善； 3.青年网络素养有待进一步提升；4.促进青年健康成长、创新创业、权益保障、婚恋交友等方面公共服务手段仍需完善；5.精准识别青年的个性化需求，为青年搭建更为完善发展空间的能力和水平有待进</w:t>
      </w:r>
      <w:r>
        <w:rPr>
          <w:rFonts w:hint="eastAsia" w:ascii="仿宋_GB2312" w:hAnsi="仿宋_GB2312" w:eastAsia="仿宋_GB2312" w:cs="仿宋_GB2312"/>
          <w:color w:val="000000" w:themeColor="text1"/>
          <w:sz w:val="32"/>
          <w:szCs w:val="32"/>
          <w14:textFill>
            <w14:solidFill>
              <w14:schemeClr w14:val="tx1"/>
            </w14:solidFill>
          </w14:textFill>
        </w:rPr>
        <w:t>一步提高。</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同时，在更好地服务仙居经济社会发展，彰显仙居在“重要窗口”和共同富裕示范区建设中的贡献度及城市发展活力，仙居青年也重任在肩。</w:t>
      </w:r>
    </w:p>
    <w:p>
      <w:pPr>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1.肩负着“复兴中华、实现梦想”的历史使命。</w:t>
      </w:r>
      <w:r>
        <w:rPr>
          <w:rFonts w:hint="eastAsia" w:ascii="仿宋_GB2312" w:hAnsi="仿宋_GB2312" w:eastAsia="仿宋_GB2312" w:cs="仿宋_GB2312"/>
          <w:sz w:val="32"/>
          <w:szCs w:val="32"/>
        </w:rPr>
        <w:t>习近平总书记在党的十九大报告中指出：“青年兴则国家兴，青年强则国家强。青年一代有理想、有本领、有担当，国家就有前途，民族就有希望。”“十四五”时期是我国全面建成小康社会、实现第一个百年奋斗目标之后，乘势而上开启全面建设社会主义现代化国家新征程，并向第二个百年奋斗目标进军的关键时期。广大青年必须牢记“国之大者”，提升眼界格局，践行奉献精神，以家国天下为重，以使命责任为先，将个人幸福与国家富强结合起来，为实现中华民族伟大复兴的中国梦而勤奋学习、努力工作。</w:t>
      </w:r>
    </w:p>
    <w:p>
      <w:pPr>
        <w:spacing w:line="600" w:lineRule="exact"/>
        <w:ind w:left="210" w:leftChars="100" w:firstLine="64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2.肩负着打造“重要窗口”和建设“共同富裕示范区”的时代责任。</w:t>
      </w:r>
      <w:r>
        <w:rPr>
          <w:rFonts w:hint="eastAsia" w:ascii="仿宋_GB2312" w:hAnsi="仿宋_GB2312" w:eastAsia="仿宋_GB2312" w:cs="仿宋_GB2312"/>
          <w:color w:val="000000" w:themeColor="text1"/>
          <w:sz w:val="32"/>
          <w:szCs w:val="32"/>
          <w14:textFill>
            <w14:solidFill>
              <w14:schemeClr w14:val="tx1"/>
            </w14:solidFill>
          </w14:textFill>
        </w:rPr>
        <w:t>站在“两个一百年”的历史交汇点，习近平总书记赋予浙江“努力成为新时代全面展示中国特色社会主义制度优越性的重要窗口”新定位，2021年5月20日，中共中央、国务院公布了《关于支持浙江高质量发展建设共同富裕示范区的意见》，这为浙江当前和长远改革发展提出了新要求，赋予了新使命，确立了新目标，指明了新航标。这些前所未有的开创性工作为青年搭建了广阔的展现才华，书写新时代美丽华章的人生舞台。广大青年要站在新的更高历史起点上，以时不我待的紧迫感和责无旁贷的使命感，强化政治自觉和行动自觉，把握机遇、铆足干劲、强化责任、建功立业，铸就自己的精彩人生。</w:t>
      </w:r>
    </w:p>
    <w:p>
      <w:pPr>
        <w:spacing w:line="60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3.肩负着“建设现代化中国山水画城市”的现实任务。</w:t>
      </w:r>
      <w:r>
        <w:rPr>
          <w:rFonts w:hint="eastAsia" w:ascii="仿宋_GB2312" w:hAnsi="仿宋_GB2312" w:eastAsia="仿宋_GB2312" w:cs="仿宋_GB2312"/>
          <w:sz w:val="32"/>
          <w:szCs w:val="32"/>
        </w:rPr>
        <w:t>未来几年是仙居绿色发展的迭代期，新旧动能转换的提速期，融入新发展格局的窗口期</w:t>
      </w:r>
      <w:r>
        <w:rPr>
          <w:rStyle w:val="20"/>
          <w:rFonts w:hint="eastAsia" w:ascii="仿宋_GB2312" w:hAnsi="仿宋_GB2312" w:eastAsia="仿宋_GB2312" w:cs="仿宋_GB2312"/>
          <w:sz w:val="32"/>
          <w:szCs w:val="32"/>
        </w:rPr>
        <w:footnoteReference w:id="2"/>
      </w:r>
      <w:r>
        <w:rPr>
          <w:rFonts w:hint="eastAsia" w:ascii="仿宋_GB2312" w:hAnsi="仿宋_GB2312" w:eastAsia="仿宋_GB2312" w:cs="仿宋_GB2312"/>
          <w:sz w:val="32"/>
          <w:szCs w:val="32"/>
        </w:rPr>
        <w:t>。面对“三期”叠加的历史阶段，必须构建更加完善的青年工作体系，出台更加有力的青年发展举措，把仙居打造成青年成长成才、干事创业的热土，吸引各地青年积极投身到再创仙居发展新辉煌的实践中来。对广大青年而言，机遇与挑战并存，使命和责任催人奋进，要勇做干在实处、走在前列、勇立潮头的排头兵。</w:t>
      </w:r>
    </w:p>
    <w:bookmarkEnd w:id="0"/>
    <w:bookmarkEnd w:id="1"/>
    <w:bookmarkEnd w:id="2"/>
    <w:bookmarkEnd w:id="3"/>
    <w:bookmarkEnd w:id="4"/>
    <w:p>
      <w:pPr>
        <w:spacing w:line="600" w:lineRule="exact"/>
        <w:ind w:firstLine="699" w:firstLineChars="249"/>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二、总体思路</w:t>
      </w:r>
    </w:p>
    <w:p>
      <w:pPr>
        <w:spacing w:line="600" w:lineRule="exact"/>
        <w:ind w:firstLine="472" w:firstLineChars="147"/>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（一）指导思想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以习近平总书记关于青年及青年工作的重要论述为根本遵循，全面贯彻落实党的十九大和历次全会、省第十四次党代会、市第五次党代会、县第五次党代会精神，牢牢把握为实现中华民族伟大复兴中国梦而奋斗的时代主题，坚持以青年为中心，坚持青年优先发展理念，充分关注青年的特点和利益，在仙居对标“重要窗口”，建设“共同富裕示范区山区样板”，全力攻坚“四大突破口”，全面推进“创新引领、绿色跨越”，加快建设现代化中国山水画城市的征程中展现新担当和新作为。</w:t>
      </w:r>
    </w:p>
    <w:p>
      <w:pPr>
        <w:spacing w:line="600" w:lineRule="exact"/>
        <w:ind w:firstLine="472" w:firstLineChars="147"/>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（二）基本原则</w:t>
      </w:r>
    </w:p>
    <w:p>
      <w:pPr>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1.坚持党管青年。</w:t>
      </w:r>
      <w:r>
        <w:rPr>
          <w:rFonts w:hint="eastAsia" w:ascii="仿宋_GB2312" w:hAnsi="仿宋_GB2312" w:eastAsia="仿宋_GB2312" w:cs="仿宋_GB2312"/>
          <w:sz w:val="32"/>
          <w:szCs w:val="32"/>
        </w:rPr>
        <w:t>坚持马克思主义青年观，全面贯彻落实习近平新时代中国特色社会主义思想和习近平总书记关于青年及青年工作的重要论述，坚持党对青年工作的统一领导，引领青年坚定不移听党话、跟党走。</w:t>
      </w:r>
    </w:p>
    <w:p>
      <w:pPr>
        <w:spacing w:line="60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2.坚持青年为本。</w:t>
      </w:r>
      <w:r>
        <w:rPr>
          <w:rFonts w:hint="eastAsia" w:ascii="仿宋_GB2312" w:hAnsi="仿宋_GB2312" w:eastAsia="仿宋_GB2312" w:cs="仿宋_GB2312"/>
          <w:sz w:val="32"/>
          <w:szCs w:val="32"/>
        </w:rPr>
        <w:t>坚持青年优先发展、全面发展、协调发展，尊重青年的主体地位，把青年需求作为工作的立足点，把青年满意作为衡量工作成效的基本标准；以青年为主角，尊重青年成长规律和发展特点，发挥青年首创精神。</w:t>
      </w:r>
    </w:p>
    <w:p>
      <w:pPr>
        <w:spacing w:line="60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3.坚持系统推进。</w:t>
      </w:r>
      <w:r>
        <w:rPr>
          <w:rFonts w:hint="eastAsia" w:ascii="仿宋_GB2312" w:hAnsi="仿宋_GB2312" w:eastAsia="仿宋_GB2312" w:cs="仿宋_GB2312"/>
          <w:sz w:val="32"/>
          <w:szCs w:val="32"/>
        </w:rPr>
        <w:t>坚持以战略高度和全局视野看待青年发展事业，将青年发展事业纳入县委、县政府和经济社会发展全局中，在党委领导下，构建政府、群团组织和社会各方协同施策的工作体系，加强保障，创新方法，共筑青年发展工作同心圆。</w:t>
      </w:r>
    </w:p>
    <w:p>
      <w:pPr>
        <w:spacing w:line="60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4.坚持数字赋能。</w:t>
      </w:r>
      <w:r>
        <w:rPr>
          <w:rFonts w:hint="eastAsia" w:ascii="仿宋_GB2312" w:hAnsi="仿宋_GB2312" w:eastAsia="仿宋_GB2312" w:cs="仿宋_GB2312"/>
          <w:sz w:val="32"/>
          <w:szCs w:val="32"/>
        </w:rPr>
        <w:t>坚持以数字化改革助推青年更好发展，不断提升工作整体效能，为青年发展创造更优的环境和空间。加快打造硬核场景和标志性成果，不断推进青年健康成长、就业创业、社会参与、权益维护等方面的体制机制改革。</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（三）发展目标</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1.到2023年，青年发展政策体系和工作机制不断健全，青年思想道德素质和全面发展水平不断提高，青年教育水平、身心健康、就业创业、社会参与等监测指标稳步上升，青年安全感、幸福感得到提高。</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2.到2025年，青年发展政策体系和工作机制渐趋完善，青年思想道德素质和全面发展水平得到显著提高，青年教育水平、身心健康、就业创业、社会参与等监测指标大幅优化，青年安全感、幸福感全面提高。</w:t>
      </w:r>
    </w:p>
    <w:p>
      <w:pPr>
        <w:spacing w:line="600" w:lineRule="exact"/>
        <w:ind w:firstLine="699" w:firstLineChars="249"/>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三、主要任务</w:t>
      </w:r>
    </w:p>
    <w:p>
      <w:pPr>
        <w:spacing w:line="600" w:lineRule="exact"/>
        <w:ind w:firstLine="472" w:firstLineChars="147"/>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（一）青年思想政治引领</w:t>
      </w:r>
    </w:p>
    <w:p>
      <w:pPr>
        <w:spacing w:line="60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发展目标：</w:t>
      </w:r>
      <w:r>
        <w:rPr>
          <w:rFonts w:hint="eastAsia" w:ascii="仿宋_GB2312" w:hAnsi="仿宋_GB2312" w:eastAsia="仿宋_GB2312" w:cs="仿宋_GB2312"/>
          <w:sz w:val="32"/>
          <w:szCs w:val="32"/>
        </w:rPr>
        <w:t>坚持用习近平新时代中国特色社会主义思想构筑青年一代的强大精神支柱。进一步深化“四史”和国情政策教育,大力弘扬社会主义核心价值观，将广大青年紧紧凝聚在党的周围，不断巩固和扩大党执政的青年群众基础。</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发展措施：</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1.加强青年理想信念教育。</w:t>
      </w:r>
      <w:r>
        <w:rPr>
          <w:rFonts w:hint="eastAsia" w:ascii="仿宋_GB2312" w:hAnsi="仿宋_GB2312" w:eastAsia="仿宋_GB2312" w:cs="仿宋_GB2312"/>
          <w:sz w:val="32"/>
          <w:szCs w:val="32"/>
        </w:rPr>
        <w:t>深入学习贯彻习近平新时代中国特色社会主义思想，常态化开展各类面向团员青年的主题教育活动。引导青年深入学习马克思主义理论，坚定对马克思主义的信仰，对社会主义和共产主义的信念。深入开展习近平新时代中国特色社会主义思想在浙江的萌发和实践研究。深化“四史”学习教育，将仙居的红色资源充分转化为学习的生动教材，引领广大青年深刻感受信仰之力，激发使命担当，升华感悟境界，厚植家国情怀。</w:t>
      </w:r>
      <w:r>
        <w:rPr>
          <w:rFonts w:hint="eastAsia" w:ascii="仿宋_GB2312" w:hAnsi="仿宋_GB2312" w:eastAsia="仿宋_GB2312" w:cs="仿宋_GB2312"/>
          <w:b/>
          <w:sz w:val="32"/>
          <w:szCs w:val="32"/>
        </w:rPr>
        <w:t>（牵头单位：县委宣传部、团县委；参加单位：县教育局、县文化和广电旅游体育局）</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2.培育和践行社会主义核心价值观。</w:t>
      </w:r>
      <w:r>
        <w:rPr>
          <w:rFonts w:hint="eastAsia" w:ascii="仿宋_GB2312" w:hAnsi="仿宋_GB2312" w:eastAsia="仿宋_GB2312" w:cs="仿宋_GB2312"/>
          <w:sz w:val="32"/>
          <w:szCs w:val="32"/>
        </w:rPr>
        <w:t>抓住青少年价值观形成的关键时期，使社会主义核心价值观内化为青年的坚定信念，外化为青年的自觉行动，引导广大青年扣好人生第一粒扣子。以培养担当民族复兴大任的时代新人为着眼点，以青年喜闻乐见、易于接受的形式开展教育，宣传普及以务实、守信、崇学、向善为内涵的当代浙江人共同价值观，深入挖掘仙居当地的优秀传统文化、革命文化和社会主义先进文化。深入开展形式多样的精神文明创建活动，引导青年大力弘扬社会公德、职业道德、家庭美德、个人品德，推动社会主义核心价值观入脑入心和生根落地。</w:t>
      </w:r>
      <w:r>
        <w:rPr>
          <w:rFonts w:hint="eastAsia" w:ascii="仿宋_GB2312" w:hAnsi="仿宋_GB2312" w:eastAsia="仿宋_GB2312" w:cs="仿宋_GB2312"/>
          <w:b/>
          <w:sz w:val="32"/>
          <w:szCs w:val="32"/>
        </w:rPr>
        <w:t>（牵头单位：县委宣传部、团县委；参加单位：县文明办、县教育局）</w:t>
      </w:r>
    </w:p>
    <w:p>
      <w:pPr>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3.发挥学校思想政治引导的主阵地作用。</w:t>
      </w:r>
      <w:r>
        <w:rPr>
          <w:rFonts w:hint="eastAsia" w:ascii="仿宋_GB2312" w:hAnsi="仿宋_GB2312" w:eastAsia="仿宋_GB2312" w:cs="仿宋_GB2312"/>
          <w:sz w:val="32"/>
          <w:szCs w:val="32"/>
        </w:rPr>
        <w:t>围绕立德树人的根本任务，把思想政治及德育纳入中小学教育评价机制。围绕思想政治及德育工作要求，根据中小学有效衔接的德育课程教材体系，加快开发地方课程和校本课程，创新中小学德育课。重视和加强中学团校阵地建设。实施师德师风建设工程，加快德育队伍的职业化和专业化建设，着重抓好学校共青团干部、少先队辅导员、班主任以及思想品德课、思想政治理论课和哲学社会科学课教师等队伍建设。全面贯彻落实《中共中央关于全面加强新时代少先队工作的意见》精神，全面加强党对少先队工作的领导，进一步加大优秀少先队员、优秀少先队辅导员、优秀少先队集体的评选力度，推进新时代少先队组织改革创新和社会化发展。</w:t>
      </w:r>
      <w:r>
        <w:rPr>
          <w:rFonts w:hint="eastAsia" w:ascii="仿宋_GB2312" w:hAnsi="仿宋_GB2312" w:eastAsia="仿宋_GB2312" w:cs="仿宋_GB2312"/>
          <w:b/>
          <w:sz w:val="32"/>
          <w:szCs w:val="32"/>
        </w:rPr>
        <w:t>（牵头单位：县教育局；参加单位：县委宣传部、团县委）</w:t>
      </w:r>
    </w:p>
    <w:p>
      <w:pPr>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4.强化网络思想引领。</w:t>
      </w:r>
      <w:r>
        <w:rPr>
          <w:rFonts w:hint="eastAsia" w:ascii="仿宋_GB2312" w:hAnsi="仿宋_GB2312" w:eastAsia="仿宋_GB2312" w:cs="仿宋_GB2312"/>
          <w:sz w:val="32"/>
          <w:szCs w:val="32"/>
        </w:rPr>
        <w:t>构建以“两微一端”和短视频平台为重点的新媒体矩阵，打造一批在全县有一定影响力的青年新媒体平台和传播品牌，实现精准推送。在青年群体中广泛开展网络素养教育，引导青年科学、依法、文明、理性上网，传播网络正能量。提升网络舆情分析和引导能力，完善预警处突机制。广泛开展青年网络文明志愿者行动，组织动员广大青年参与监督和遏止网上各种违法和不良信息传播，为构建清朗网络空间贡献力量。</w:t>
      </w:r>
      <w:r>
        <w:rPr>
          <w:rFonts w:hint="eastAsia" w:ascii="仿宋_GB2312" w:hAnsi="仿宋_GB2312" w:eastAsia="仿宋_GB2312" w:cs="仿宋_GB2312"/>
          <w:b/>
          <w:sz w:val="32"/>
          <w:szCs w:val="32"/>
        </w:rPr>
        <w:t>（牵头单位：县委宣传部、县委网信办、团县委；参加单位：县文明办、县教育局）</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（二）青年教育</w:t>
      </w:r>
    </w:p>
    <w:p>
      <w:pPr>
        <w:spacing w:line="60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发展目标：</w:t>
      </w:r>
      <w:r>
        <w:rPr>
          <w:rFonts w:hint="eastAsia" w:ascii="仿宋_GB2312" w:hAnsi="仿宋_GB2312" w:eastAsia="仿宋_GB2312" w:cs="仿宋_GB2312"/>
          <w:sz w:val="32"/>
          <w:szCs w:val="32"/>
        </w:rPr>
        <w:t>青年受教育权利得到更好保障，学校教育质量得到稳步提高，义务教育得到优质均衡发展。到2025年，标准化学校建设比例达100%，义务教育入学率达98%以上，高等教育毛入学率达64%以上，中职毕业生升入普通高校比例达到60%以</w:t>
      </w:r>
      <w:r>
        <w:rPr>
          <w:rFonts w:hint="eastAsia" w:ascii="仿宋_GB2312" w:hAnsi="仿宋_GB2312" w:eastAsia="仿宋_GB2312" w:cs="仿宋_GB2312"/>
          <w:color w:val="000000" w:themeColor="text1"/>
          <w:sz w:val="32"/>
          <w:szCs w:val="32"/>
          <w14:textFill>
            <w14:solidFill>
              <w14:schemeClr w14:val="tx1"/>
            </w14:solidFill>
          </w14:textFill>
        </w:rPr>
        <w:t>上</w:t>
      </w:r>
      <w:r>
        <w:rPr>
          <w:rStyle w:val="20"/>
          <w:rFonts w:hint="eastAsia" w:ascii="仿宋_GB2312" w:hAnsi="仿宋_GB2312" w:eastAsia="仿宋_GB2312" w:cs="仿宋_GB2312"/>
          <w:color w:val="000000" w:themeColor="text1"/>
          <w:sz w:val="32"/>
          <w:szCs w:val="32"/>
          <w14:textFill>
            <w14:solidFill>
              <w14:schemeClr w14:val="tx1"/>
            </w14:solidFill>
          </w14:textFill>
        </w:rPr>
        <w:footnoteReference w:id="3"/>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发展措施：</w:t>
      </w:r>
    </w:p>
    <w:p>
      <w:pPr>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1.提高学校育人质量。</w:t>
      </w:r>
      <w:r>
        <w:rPr>
          <w:rFonts w:hint="eastAsia" w:ascii="仿宋_GB2312" w:hAnsi="仿宋_GB2312" w:eastAsia="仿宋_GB2312" w:cs="仿宋_GB2312"/>
          <w:sz w:val="32"/>
          <w:szCs w:val="32"/>
        </w:rPr>
        <w:t>坚持立德树人，深化教育改革，将提高学生社会责任感、法律意识、创新精神、实践能力、劳动能力等作为重点，贯穿学校教育全过程。积极推进素质教育改革，培养和提升学生的核心素养，改善课堂教学，调动学生自主学习的积极性。推进现代职业教育体系建设，创新产教融合、校企合作培养模式，培养现代产业技术工人。加强教师职业道德教育和业务能力培训，深化教师评价管理体系改革。</w:t>
      </w:r>
      <w:r>
        <w:rPr>
          <w:rFonts w:hint="eastAsia" w:ascii="仿宋_GB2312" w:hAnsi="仿宋_GB2312" w:eastAsia="仿宋_GB2312" w:cs="仿宋_GB2312"/>
          <w:b/>
          <w:sz w:val="32"/>
          <w:szCs w:val="32"/>
        </w:rPr>
        <w:t>（牵头单位：县教育局；参加单位：县委宣传部、县人力社保局、团县委）</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2.优化配置教育资源。</w:t>
      </w:r>
      <w:r>
        <w:rPr>
          <w:rFonts w:hint="eastAsia" w:ascii="仿宋_GB2312" w:hAnsi="仿宋_GB2312" w:eastAsia="仿宋_GB2312" w:cs="仿宋_GB2312"/>
          <w:sz w:val="32"/>
          <w:szCs w:val="32"/>
        </w:rPr>
        <w:t>推进公办学校义务教育标准化建设。完善入学政策，依法保障流动人口随迁子女平等接受义务教育的权利。以与名校联合办学、签订“互联网+义务教育”合作协议等形式，多途径、多形式引进和扩大优质教育资源。合理规划普通高中发展，高水平普及高中阶段教育。加强城乡义务教育教师队伍建设，促进城乡教师均衡配置。推进普通高中、山区学校、新建学校、民办学校协同发展，办好特殊教育。</w:t>
      </w:r>
      <w:r>
        <w:rPr>
          <w:rFonts w:hint="eastAsia" w:ascii="仿宋_GB2312" w:hAnsi="仿宋_GB2312" w:eastAsia="仿宋_GB2312" w:cs="仿宋_GB2312"/>
          <w:b/>
          <w:sz w:val="32"/>
          <w:szCs w:val="32"/>
        </w:rPr>
        <w:t>（牵头单位：县教育局；参加单位：县民政局、团县委）</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3.强化社会实践教育。</w:t>
      </w:r>
      <w:r>
        <w:rPr>
          <w:rFonts w:hint="eastAsia" w:ascii="仿宋_GB2312" w:hAnsi="仿宋_GB2312" w:eastAsia="仿宋_GB2312" w:cs="仿宋_GB2312"/>
          <w:sz w:val="32"/>
          <w:szCs w:val="32"/>
        </w:rPr>
        <w:t>增加青年社会教育投入，鼓励机关、企事业单位、社会组织搭建社会实践平台，为青年开展社会实践提供帮助和便利。推动校外教育创新，开展学生“走出校园、走向社会”主题课外实践活动，使广大学生深入基层、积极实践，在服务社会中锻炼成长。结合仙居特点，深入开展助力乡村振兴、助力全域旅游等社会实践，鼓励青年参与社会公共服务和社会公益事业。积极推进青年信用体系建设，完善青年守信联合激励政策，逐步应用到青年入学、就业、创业等领域。</w:t>
      </w:r>
      <w:r>
        <w:rPr>
          <w:rFonts w:hint="eastAsia" w:ascii="仿宋_GB2312" w:hAnsi="仿宋_GB2312" w:eastAsia="仿宋_GB2312" w:cs="仿宋_GB2312"/>
          <w:b/>
          <w:sz w:val="32"/>
          <w:szCs w:val="32"/>
        </w:rPr>
        <w:t>（牵头单位：县教育局；参加单位：县财政局、县文化和广电旅游体育局、团县委）</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4.促进青年终身学习。</w:t>
      </w:r>
      <w:r>
        <w:rPr>
          <w:rFonts w:hint="eastAsia" w:ascii="仿宋_GB2312" w:hAnsi="仿宋_GB2312" w:eastAsia="仿宋_GB2312" w:cs="仿宋_GB2312"/>
          <w:sz w:val="32"/>
          <w:szCs w:val="32"/>
        </w:rPr>
        <w:t>倡导青年形成终身学习的理念，加强服务平台建设，逐步构建青年终身教育体系和学习体系。强化家庭教育基础作用，构建家庭教育社会支持网络。大力发展继续教育，逐步推行学分积累和转换制度，实现学习成果的互认和衔接。创新发展在线教育，推动各类学习资源开放共享，加快数字化学习资源开发，为青年提供更广泛的学习途径。</w:t>
      </w:r>
      <w:r>
        <w:rPr>
          <w:rFonts w:hint="eastAsia" w:ascii="仿宋_GB2312" w:hAnsi="仿宋_GB2312" w:eastAsia="仿宋_GB2312" w:cs="仿宋_GB2312"/>
          <w:b/>
          <w:sz w:val="32"/>
          <w:szCs w:val="32"/>
        </w:rPr>
        <w:t>（牵头单位：县教育局、团县委；参加单位：县财政局、</w:t>
      </w:r>
      <w:r>
        <w:rPr>
          <w:rFonts w:hint="eastAsia" w:ascii="仿宋_GB2312" w:hAnsi="仿宋_GB2312" w:eastAsia="仿宋_GB2312" w:cs="仿宋_GB2312"/>
          <w:b/>
          <w:bCs/>
          <w:color w:val="000000"/>
          <w:sz w:val="32"/>
          <w:szCs w:val="32"/>
        </w:rPr>
        <w:t>县人力社保局</w:t>
      </w:r>
      <w:r>
        <w:rPr>
          <w:rFonts w:hint="eastAsia" w:ascii="仿宋_GB2312" w:hAnsi="仿宋_GB2312" w:eastAsia="仿宋_GB2312" w:cs="仿宋_GB2312"/>
          <w:b/>
          <w:sz w:val="32"/>
          <w:szCs w:val="32"/>
        </w:rPr>
        <w:t>）</w:t>
      </w:r>
    </w:p>
    <w:p>
      <w:pPr>
        <w:spacing w:line="600" w:lineRule="exact"/>
        <w:ind w:firstLine="481" w:firstLineChars="15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（三）青年健康</w:t>
      </w:r>
    </w:p>
    <w:p>
      <w:pPr>
        <w:spacing w:line="60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发展目标：</w:t>
      </w:r>
      <w:r>
        <w:rPr>
          <w:rFonts w:hint="eastAsia" w:ascii="仿宋_GB2312" w:hAnsi="仿宋_GB2312" w:eastAsia="仿宋_GB2312" w:cs="仿宋_GB2312"/>
          <w:sz w:val="32"/>
          <w:szCs w:val="32"/>
        </w:rPr>
        <w:t>持续提升青年身心健康水平，有效降低青年心理健康问题发生率，青年心理健康辅导和服务水平得到较大提升。到2025年，青年体质达标率不低于95%。</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发展措施：</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1.提高青年体质健康水平。</w:t>
      </w:r>
      <w:r>
        <w:rPr>
          <w:rFonts w:hint="eastAsia" w:ascii="仿宋_GB2312" w:hAnsi="仿宋_GB2312" w:eastAsia="仿宋_GB2312" w:cs="仿宋_GB2312"/>
          <w:sz w:val="32"/>
          <w:szCs w:val="32"/>
        </w:rPr>
        <w:t>积极引导青年形成健康的生活方式，持续提升青年健康水平。加强学校体育工作，强化体质健康指标的硬约束，确保体育课时和课外锻炼时间得到落实。鼓励和支持青年体育类社会组织发展，丰富青年体育活动内容，带动更多青年培养体育兴趣和爱好，提高青年体质健康水平。加强体育设施建设，进一步构建公共体育设施网络和全民健身指导服务网络。</w:t>
      </w:r>
      <w:r>
        <w:rPr>
          <w:rFonts w:hint="eastAsia" w:ascii="仿宋_GB2312" w:hAnsi="仿宋_GB2312" w:eastAsia="仿宋_GB2312" w:cs="仿宋_GB2312"/>
          <w:b/>
          <w:sz w:val="32"/>
          <w:szCs w:val="32"/>
        </w:rPr>
        <w:t>（牵头单位：</w:t>
      </w:r>
      <w:r>
        <w:rPr>
          <w:rFonts w:hint="eastAsia" w:ascii="仿宋_GB2312" w:hAnsi="仿宋_GB2312" w:eastAsia="仿宋_GB2312" w:cs="仿宋_GB2312"/>
          <w:b/>
          <w:bCs/>
          <w:color w:val="000000"/>
          <w:sz w:val="32"/>
          <w:szCs w:val="32"/>
        </w:rPr>
        <w:t>县卫生健康局</w:t>
      </w:r>
      <w:r>
        <w:rPr>
          <w:rFonts w:hint="eastAsia" w:ascii="仿宋_GB2312" w:hAnsi="仿宋_GB2312" w:eastAsia="仿宋_GB2312" w:cs="仿宋_GB2312"/>
          <w:b/>
          <w:sz w:val="32"/>
          <w:szCs w:val="32"/>
        </w:rPr>
        <w:t>、县文化和广电旅游体育局、县体育事业发展中心；参加单位：县教育局、县民政局、团县委）</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2.加强青年心理健康和服务。</w:t>
      </w:r>
      <w:r>
        <w:rPr>
          <w:rFonts w:hint="eastAsia" w:ascii="仿宋_GB2312" w:hAnsi="仿宋_GB2312" w:eastAsia="仿宋_GB2312" w:cs="仿宋_GB2312"/>
          <w:sz w:val="32"/>
          <w:szCs w:val="32"/>
        </w:rPr>
        <w:t>加强青年心理健康知识宣传普及，引导青年树立自尊自信、理性平和、积极向上的精神面貌和意志品质。强化学校心理健康教育，开设心理健康教育课程，力争在所有中学和职业学校都设立心理健康辅导咨询室并配备专职心理健康教师，探索建立心理健康问题档案。重视和加强家庭心理健康教育，营造和谐家庭环境。培养青年心理辅导专业人才，支持心理咨询服务机构规范发展，充分发挥社会组织和心理健康专业人员的作用，积极为青年开展心理咨询和心理治疗服务。加强源头预防，支持鼓励组建专业化、社会化心理救援队伍，加强青年心理问题高危人群和灾害事故心理危机干预机制建设。</w:t>
      </w:r>
      <w:r>
        <w:rPr>
          <w:rFonts w:hint="eastAsia" w:ascii="仿宋_GB2312" w:hAnsi="仿宋_GB2312" w:eastAsia="仿宋_GB2312" w:cs="仿宋_GB2312"/>
          <w:b/>
          <w:sz w:val="32"/>
          <w:szCs w:val="32"/>
        </w:rPr>
        <w:t>（牵头单位：</w:t>
      </w:r>
      <w:r>
        <w:rPr>
          <w:rFonts w:hint="eastAsia" w:ascii="仿宋_GB2312" w:hAnsi="仿宋_GB2312" w:eastAsia="仿宋_GB2312" w:cs="仿宋_GB2312"/>
          <w:b/>
          <w:bCs/>
          <w:color w:val="000000"/>
          <w:sz w:val="32"/>
          <w:szCs w:val="32"/>
        </w:rPr>
        <w:t>县卫生健康局</w:t>
      </w:r>
      <w:r>
        <w:rPr>
          <w:rFonts w:hint="eastAsia" w:ascii="仿宋_GB2312" w:hAnsi="仿宋_GB2312" w:eastAsia="仿宋_GB2312" w:cs="仿宋_GB2312"/>
          <w:b/>
          <w:sz w:val="32"/>
          <w:szCs w:val="32"/>
        </w:rPr>
        <w:t>、县教育局；参加单位：县委宣传部、县民政局、团县委）</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3.加强青年自我健康管理。</w:t>
      </w:r>
      <w:r>
        <w:rPr>
          <w:rFonts w:hint="eastAsia" w:ascii="仿宋_GB2312" w:hAnsi="仿宋_GB2312" w:eastAsia="仿宋_GB2312" w:cs="仿宋_GB2312"/>
          <w:sz w:val="32"/>
          <w:szCs w:val="32"/>
        </w:rPr>
        <w:t>积极宣传健康的生活方式，广泛开展禁烟宣传，积极推进无烟环境建设，将青年作为吸烟预防干预的重点人群。加强对青年饮酒健康教育，控制酒精摄入，减少酗酒行为。广泛开展各类课外锻炼活动，引导学生养成健康文明的生活方式。综合防控青少年近视，有效降低初中生、高中生近视率。引导青年养成健康文明的生活与工作习惯，积极参与垃圾分类工作。</w:t>
      </w:r>
      <w:r>
        <w:rPr>
          <w:rFonts w:hint="eastAsia" w:ascii="仿宋_GB2312" w:hAnsi="仿宋_GB2312" w:eastAsia="仿宋_GB2312" w:cs="仿宋_GB2312"/>
          <w:b/>
          <w:sz w:val="32"/>
          <w:szCs w:val="32"/>
        </w:rPr>
        <w:t>（牵头单位：</w:t>
      </w:r>
      <w:r>
        <w:rPr>
          <w:rFonts w:hint="eastAsia" w:ascii="仿宋_GB2312" w:hAnsi="仿宋_GB2312" w:eastAsia="仿宋_GB2312" w:cs="仿宋_GB2312"/>
          <w:b/>
          <w:bCs/>
          <w:color w:val="000000"/>
          <w:sz w:val="32"/>
          <w:szCs w:val="32"/>
        </w:rPr>
        <w:t>县卫生健康局</w:t>
      </w:r>
      <w:r>
        <w:rPr>
          <w:rFonts w:hint="eastAsia" w:ascii="仿宋_GB2312" w:hAnsi="仿宋_GB2312" w:eastAsia="仿宋_GB2312" w:cs="仿宋_GB2312"/>
          <w:b/>
          <w:sz w:val="32"/>
          <w:szCs w:val="32"/>
        </w:rPr>
        <w:t>、县教育局；参加单位：团县委）</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4.加强青年健康促进工作。</w:t>
      </w:r>
      <w:r>
        <w:rPr>
          <w:rFonts w:hint="eastAsia" w:ascii="仿宋_GB2312" w:hAnsi="仿宋_GB2312" w:eastAsia="仿宋_GB2312" w:cs="仿宋_GB2312"/>
          <w:sz w:val="32"/>
          <w:szCs w:val="32"/>
        </w:rPr>
        <w:t>做好禁毒宣传教育工作，提高青年群体尤其是学生群体对毒品及其危害的认识，健全戒毒医疗服务体系，最大限度减少毒品对青少年的危害。定期组织青年参与公共场所安全演练，开展应急情况下自救互救体验教育，增强青年在应对突发事件中的自我保护意识和防灾避险能力。做好青年职业病的预防和治疗工作，降低青年职业病发生率。通过志愿服务、慈善捐助和社会化专业互助服务等形式为青年群体提供有针对性的健康服务。</w:t>
      </w:r>
      <w:r>
        <w:rPr>
          <w:rFonts w:hint="eastAsia" w:ascii="仿宋_GB2312" w:hAnsi="仿宋_GB2312" w:eastAsia="仿宋_GB2312" w:cs="仿宋_GB2312"/>
          <w:b/>
          <w:sz w:val="32"/>
          <w:szCs w:val="32"/>
        </w:rPr>
        <w:t>（牵头单位：</w:t>
      </w:r>
      <w:r>
        <w:rPr>
          <w:rFonts w:hint="eastAsia" w:ascii="仿宋_GB2312" w:hAnsi="仿宋_GB2312" w:eastAsia="仿宋_GB2312" w:cs="仿宋_GB2312"/>
          <w:b/>
          <w:bCs/>
          <w:color w:val="000000"/>
          <w:sz w:val="32"/>
          <w:szCs w:val="32"/>
        </w:rPr>
        <w:t>县卫生健康局</w:t>
      </w:r>
      <w:r>
        <w:rPr>
          <w:rFonts w:hint="eastAsia" w:ascii="仿宋_GB2312" w:hAnsi="仿宋_GB2312" w:eastAsia="仿宋_GB2312" w:cs="仿宋_GB2312"/>
          <w:b/>
          <w:sz w:val="32"/>
          <w:szCs w:val="32"/>
        </w:rPr>
        <w:t>、县公安局、县教育局；参加单位：县委宣传部、县应急管理局、团县委）</w:t>
      </w:r>
    </w:p>
    <w:p>
      <w:pPr>
        <w:spacing w:line="600" w:lineRule="exact"/>
        <w:ind w:firstLine="481" w:firstLineChars="15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（四）青年婚恋与家庭</w:t>
      </w:r>
    </w:p>
    <w:p>
      <w:pPr>
        <w:spacing w:line="600" w:lineRule="exact"/>
        <w:ind w:firstLine="481" w:firstLineChars="15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发展目标：</w:t>
      </w:r>
      <w:r>
        <w:rPr>
          <w:rFonts w:hint="eastAsia" w:ascii="仿宋_GB2312" w:hAnsi="仿宋_GB2312" w:eastAsia="仿宋_GB2312" w:cs="仿宋_GB2312"/>
          <w:sz w:val="32"/>
          <w:szCs w:val="32"/>
        </w:rPr>
        <w:t>提升青年恋爱、婚姻、生育等方面的服务水平。在全社会营造良好的婚恋环境，青年婚恋自由权等相关法定权利得到更好保障；青年婚恋观更加文明、健康、理性；涵养良好的家风、家训文化，促进青年家庭和谐。</w:t>
      </w:r>
    </w:p>
    <w:p>
      <w:pPr>
        <w:spacing w:line="600" w:lineRule="exact"/>
        <w:ind w:firstLine="481" w:firstLineChars="15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发展措施：</w:t>
      </w:r>
    </w:p>
    <w:p>
      <w:pPr>
        <w:spacing w:line="600" w:lineRule="exact"/>
        <w:ind w:firstLine="481" w:firstLineChars="15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1.加强青年正确婚恋观、家庭观教育。</w:t>
      </w:r>
      <w:r>
        <w:rPr>
          <w:rFonts w:hint="eastAsia" w:ascii="仿宋_GB2312" w:hAnsi="仿宋_GB2312" w:eastAsia="仿宋_GB2312" w:cs="仿宋_GB2312"/>
          <w:sz w:val="32"/>
          <w:szCs w:val="32"/>
        </w:rPr>
        <w:t>发挥大众传媒的社会影响力，广泛传播正面的婚恋观，鲜明抵制负面的婚恋观念。引导青年树立文明、健康、理性的婚恋。积极开展融入婚育文明内涵的社区服务、法律服务和文化宣传等群众性活动，营造文明节俭的婚庆氛围。引导青年树立正确的家庭观，大力弘扬家庭美德，培育家庭文明，倡导尊老爱幼、男女平等、夫妻和睦、勤俭持家、邻里团结。</w:t>
      </w:r>
      <w:r>
        <w:rPr>
          <w:rFonts w:hint="eastAsia" w:ascii="仿宋_GB2312" w:hAnsi="仿宋_GB2312" w:eastAsia="仿宋_GB2312" w:cs="仿宋_GB2312"/>
          <w:b/>
          <w:sz w:val="32"/>
          <w:szCs w:val="32"/>
        </w:rPr>
        <w:t>（牵头单位：县委宣传部、团县委；参加单位：县教育局、县民政局）</w:t>
      </w:r>
    </w:p>
    <w:p>
      <w:pPr>
        <w:spacing w:line="600" w:lineRule="exact"/>
        <w:ind w:firstLine="481" w:firstLineChars="15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2.建立完善青年交友服务体系。</w:t>
      </w:r>
      <w:r>
        <w:rPr>
          <w:rFonts w:hint="eastAsia" w:ascii="仿宋_GB2312" w:hAnsi="仿宋_GB2312" w:eastAsia="仿宋_GB2312" w:cs="仿宋_GB2312"/>
          <w:sz w:val="32"/>
          <w:szCs w:val="32"/>
        </w:rPr>
        <w:t>深化“亲青恋”等青年交友婚恋平台建设，运用新技术、探索新功能，为满足青年婚恋需求提供服务支撑和便利条件。加强针对大龄未婚青年、进城务工青年、互联网行业青年和创业青年等重点青年群体的服务力度，分类精准施策，提高服务有效性。持续组织开展青年联谊交友系列活动，为青年提供安全、可靠、便捷的婚恋交友服务。规范婚恋市场发展，实施婚恋交友平台实名认证和实名注册，加强个人信息保护的监督执法，改善因互联网过度使用导致的青年男女婚恋交友热情降低的问题。</w:t>
      </w:r>
      <w:r>
        <w:rPr>
          <w:rFonts w:hint="eastAsia" w:ascii="仿宋_GB2312" w:hAnsi="仿宋_GB2312" w:eastAsia="仿宋_GB2312" w:cs="仿宋_GB2312"/>
          <w:b/>
          <w:sz w:val="32"/>
          <w:szCs w:val="32"/>
        </w:rPr>
        <w:t>（牵头单位：团县委；参加单位：县民政局、县公安局、</w:t>
      </w:r>
      <w:r>
        <w:rPr>
          <w:rFonts w:hint="eastAsia" w:ascii="仿宋_GB2312" w:hAnsi="仿宋_GB2312" w:eastAsia="仿宋_GB2312" w:cs="仿宋_GB2312"/>
          <w:b/>
          <w:bCs/>
          <w:color w:val="000000"/>
          <w:sz w:val="32"/>
          <w:szCs w:val="32"/>
        </w:rPr>
        <w:t>县市场监管局</w:t>
      </w:r>
      <w:r>
        <w:rPr>
          <w:rFonts w:hint="eastAsia" w:ascii="仿宋_GB2312" w:hAnsi="仿宋_GB2312" w:eastAsia="仿宋_GB2312" w:cs="仿宋_GB2312"/>
          <w:b/>
          <w:sz w:val="32"/>
          <w:szCs w:val="32"/>
        </w:rPr>
        <w:t>、县文化和广电旅游体育局、县总工会、县妇联）</w:t>
      </w:r>
    </w:p>
    <w:p>
      <w:pPr>
        <w:spacing w:line="600" w:lineRule="exact"/>
        <w:ind w:firstLine="481" w:firstLineChars="15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3.落实青年婚姻、生育和家庭政策支持。</w:t>
      </w:r>
      <w:r>
        <w:rPr>
          <w:rFonts w:hint="eastAsia" w:ascii="仿宋_GB2312" w:hAnsi="仿宋_GB2312" w:eastAsia="仿宋_GB2312" w:cs="仿宋_GB2312"/>
          <w:sz w:val="32"/>
          <w:szCs w:val="32"/>
        </w:rPr>
        <w:t>加强对青年婚恋自由保护，依法严厉打击采取各种暴力手段妨碍青年合法婚恋自由的行为，以及婚恋过程中的各种暴力加害行为。保障育龄青年的生育权利、避孕节育环节的知情权和选择权。全面落实女性青年在怀孕、生育和哺乳期间依法享有的各项权利。为未婚先孕青年提供及时的心理和健康咨询及后续服务。以线上、线下教育培训等方式，探索家庭教育新模式，努力提高青年家长教育素质，推动青年家长成为合格父母。</w:t>
      </w:r>
      <w:r>
        <w:rPr>
          <w:rFonts w:hint="eastAsia" w:ascii="仿宋_GB2312" w:hAnsi="仿宋_GB2312" w:eastAsia="仿宋_GB2312" w:cs="仿宋_GB2312"/>
          <w:b/>
          <w:sz w:val="32"/>
          <w:szCs w:val="32"/>
        </w:rPr>
        <w:t>（牵头单位：县公安局、县民政局；参加单位：县司法局、</w:t>
      </w:r>
      <w:r>
        <w:rPr>
          <w:rFonts w:hint="eastAsia" w:ascii="仿宋_GB2312" w:hAnsi="仿宋_GB2312" w:eastAsia="仿宋_GB2312" w:cs="仿宋_GB2312"/>
          <w:b/>
          <w:bCs/>
          <w:color w:val="000000"/>
          <w:sz w:val="32"/>
          <w:szCs w:val="32"/>
        </w:rPr>
        <w:t>县卫生健康局</w:t>
      </w:r>
      <w:r>
        <w:rPr>
          <w:rFonts w:hint="eastAsia" w:ascii="仿宋_GB2312" w:hAnsi="仿宋_GB2312" w:eastAsia="仿宋_GB2312" w:cs="仿宋_GB2312"/>
          <w:b/>
          <w:sz w:val="32"/>
          <w:szCs w:val="32"/>
        </w:rPr>
        <w:t>、县总工会、县妇联）。</w:t>
      </w:r>
    </w:p>
    <w:p>
      <w:pPr>
        <w:spacing w:line="600" w:lineRule="exact"/>
        <w:ind w:firstLine="481" w:firstLineChars="15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4.加强青年性健康和优生优育宣传教育。</w:t>
      </w:r>
      <w:r>
        <w:rPr>
          <w:rFonts w:hint="eastAsia" w:ascii="仿宋_GB2312" w:hAnsi="仿宋_GB2312" w:eastAsia="仿宋_GB2312" w:cs="仿宋_GB2312"/>
          <w:sz w:val="32"/>
          <w:szCs w:val="32"/>
        </w:rPr>
        <w:t>重视青年性健康教育，加大生命和性知识教育普及力度, 在有条件的学校推广性健康课程，加强性教育师资队伍建设，帮助青年掌握性健康知识，减少婚前性行为对青年造成的伤害，降低意外妊娠的发生率。在青年群体中大力弘扬以婚育文明、性别平等、优生优育、生殖健康、家庭幸福为核心的婚育文化，满足育龄青年对优生优育、生殖健康等科学知识的需求，坚决抵制非医学需要的胎儿性别鉴定和选择性别人工终止妊娠行为，引导青年树立科学、文明、进步的婚育观。</w:t>
      </w:r>
      <w:r>
        <w:rPr>
          <w:rFonts w:hint="eastAsia" w:ascii="仿宋_GB2312" w:hAnsi="仿宋_GB2312" w:eastAsia="仿宋_GB2312" w:cs="仿宋_GB2312"/>
          <w:b/>
          <w:sz w:val="32"/>
          <w:szCs w:val="32"/>
        </w:rPr>
        <w:t>（牵头单位：</w:t>
      </w:r>
      <w:r>
        <w:rPr>
          <w:rFonts w:hint="eastAsia" w:ascii="仿宋_GB2312" w:hAnsi="仿宋_GB2312" w:eastAsia="仿宋_GB2312" w:cs="仿宋_GB2312"/>
          <w:b/>
          <w:bCs/>
          <w:color w:val="000000"/>
          <w:sz w:val="32"/>
          <w:szCs w:val="32"/>
        </w:rPr>
        <w:t>县卫生健康局</w:t>
      </w:r>
      <w:r>
        <w:rPr>
          <w:rFonts w:hint="eastAsia" w:ascii="仿宋_GB2312" w:hAnsi="仿宋_GB2312" w:eastAsia="仿宋_GB2312" w:cs="仿宋_GB2312"/>
          <w:b/>
          <w:sz w:val="32"/>
          <w:szCs w:val="32"/>
        </w:rPr>
        <w:t>；参加单位：县委宣传部、县教育局）</w:t>
      </w:r>
    </w:p>
    <w:p>
      <w:pPr>
        <w:spacing w:line="600" w:lineRule="exact"/>
        <w:ind w:firstLine="481" w:firstLineChars="15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（五）青年就业创业</w:t>
      </w:r>
    </w:p>
    <w:p>
      <w:pPr>
        <w:spacing w:line="60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发展目标：</w:t>
      </w:r>
      <w:r>
        <w:rPr>
          <w:rFonts w:hint="eastAsia" w:ascii="仿宋_GB2312" w:hAnsi="仿宋_GB2312" w:eastAsia="仿宋_GB2312" w:cs="仿宋_GB2312"/>
          <w:sz w:val="32"/>
          <w:szCs w:val="32"/>
        </w:rPr>
        <w:t>青年就业权利保障更加完善，青年的薪资待遇、劳动关系、社会保险等合法权益得到充分保护；青年创业创新环境更加优越，创业活力更加显著。</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发展措施：</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1.优化青年就业创业环境。</w:t>
      </w:r>
      <w:r>
        <w:rPr>
          <w:rFonts w:hint="eastAsia" w:ascii="仿宋_GB2312" w:hAnsi="仿宋_GB2312" w:eastAsia="仿宋_GB2312" w:cs="仿宋_GB2312"/>
          <w:sz w:val="32"/>
          <w:szCs w:val="32"/>
        </w:rPr>
        <w:t>以“青创空间”平台为依托，构建集青创群、青创课、青创赛、青创贷、青创园于一体的青年创业创新服务链。持续开展“实干争先·青春建功”行动，搭建青年创业项目展示和资源对接平台，促进更多创业项目在仙居落地转化。鼓励、支持社会机构承办、主办各类创业大赛、创业活动，优化青年创业生态。支持媒体多形式、多渠道宣传青年就业创业政策，营造“大众创业、万众创新”的良好氛围。</w:t>
      </w:r>
      <w:r>
        <w:rPr>
          <w:rFonts w:hint="eastAsia" w:ascii="仿宋_GB2312" w:hAnsi="仿宋_GB2312" w:eastAsia="仿宋_GB2312" w:cs="仿宋_GB2312"/>
          <w:b/>
          <w:sz w:val="32"/>
          <w:szCs w:val="32"/>
        </w:rPr>
        <w:t>（牵头单位：团县委；参加单位：县经信局、</w:t>
      </w:r>
      <w:r>
        <w:rPr>
          <w:rFonts w:hint="eastAsia" w:ascii="仿宋_GB2312" w:hAnsi="仿宋_GB2312" w:eastAsia="仿宋_GB2312" w:cs="仿宋_GB2312"/>
          <w:b/>
          <w:bCs/>
          <w:color w:val="000000"/>
          <w:sz w:val="32"/>
          <w:szCs w:val="32"/>
        </w:rPr>
        <w:t>县人力社保局</w:t>
      </w:r>
      <w:r>
        <w:rPr>
          <w:rFonts w:hint="eastAsia" w:ascii="仿宋_GB2312" w:hAnsi="仿宋_GB2312" w:eastAsia="仿宋_GB2312" w:cs="仿宋_GB2312"/>
          <w:b/>
          <w:sz w:val="32"/>
          <w:szCs w:val="32"/>
        </w:rPr>
        <w:t>）</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2.提高青年就业服务质量。</w:t>
      </w:r>
      <w:r>
        <w:rPr>
          <w:rFonts w:hint="eastAsia" w:ascii="仿宋_GB2312" w:hAnsi="仿宋_GB2312" w:eastAsia="仿宋_GB2312" w:cs="仿宋_GB2312"/>
          <w:sz w:val="32"/>
          <w:szCs w:val="32"/>
        </w:rPr>
        <w:t>坚持就业优先战略，以服务仙居为重点，加大青年人群的就业支持力度，强化对青年技能型人才的吸引和使用。加强对灵活就业、新就业形态的支持，深化贫困家庭子女、女青年、退役青年军人和残疾青年等重点群体就业援助行动。创新就业信息服务方式方法，注重运用互联网技术打造适合青年特点的就业服务模式。</w:t>
      </w:r>
      <w:r>
        <w:rPr>
          <w:rFonts w:hint="eastAsia" w:ascii="仿宋_GB2312" w:hAnsi="仿宋_GB2312" w:eastAsia="仿宋_GB2312" w:cs="仿宋_GB2312"/>
          <w:b/>
          <w:sz w:val="32"/>
          <w:szCs w:val="32"/>
        </w:rPr>
        <w:t>（牵头单位：</w:t>
      </w:r>
      <w:r>
        <w:rPr>
          <w:rFonts w:hint="eastAsia" w:ascii="仿宋_GB2312" w:hAnsi="仿宋_GB2312" w:eastAsia="仿宋_GB2312" w:cs="仿宋_GB2312"/>
          <w:b/>
          <w:bCs/>
          <w:color w:val="000000"/>
          <w:sz w:val="32"/>
          <w:szCs w:val="32"/>
        </w:rPr>
        <w:t>县人力社保局；参加单位：县民政局、县退役军人事务局、县总工会、团县委、县残联</w:t>
      </w:r>
      <w:r>
        <w:rPr>
          <w:rFonts w:hint="eastAsia" w:ascii="仿宋_GB2312" w:hAnsi="仿宋_GB2312" w:eastAsia="仿宋_GB2312" w:cs="仿宋_GB2312"/>
          <w:b/>
          <w:sz w:val="32"/>
          <w:szCs w:val="32"/>
        </w:rPr>
        <w:t>）</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3.推动青年投身创业实践。</w:t>
      </w:r>
      <w:r>
        <w:rPr>
          <w:rFonts w:hint="eastAsia" w:ascii="仿宋_GB2312" w:hAnsi="仿宋_GB2312" w:eastAsia="仿宋_GB2312" w:cs="仿宋_GB2312"/>
          <w:sz w:val="32"/>
          <w:szCs w:val="32"/>
        </w:rPr>
        <w:t>加强对青年的普及性创业培训和“一对一”辅导，提升青年的创业素养，增进创业本领。加强青年创业项目展示和资源对接平台，搭建青年创业信息公共服务网络。着力培育服务青年创业的社会组织，建设专业化的服务队伍和服务实体。加强青年创业金融支持，实施“青年创业小额贷款项目”，为青年创业就业贷款提供利率、担保、授信、贴息等方面的优惠。</w:t>
      </w:r>
      <w:r>
        <w:rPr>
          <w:rFonts w:hint="eastAsia" w:ascii="仿宋_GB2312" w:hAnsi="仿宋_GB2312" w:eastAsia="仿宋_GB2312" w:cs="仿宋_GB2312"/>
          <w:b/>
          <w:sz w:val="32"/>
          <w:szCs w:val="32"/>
        </w:rPr>
        <w:t>（</w:t>
      </w:r>
      <w:r>
        <w:rPr>
          <w:rFonts w:hint="eastAsia" w:ascii="仿宋_GB2312" w:hAnsi="仿宋_GB2312" w:eastAsia="仿宋_GB2312" w:cs="仿宋_GB2312"/>
          <w:b/>
          <w:bCs/>
          <w:color w:val="000000"/>
          <w:sz w:val="32"/>
          <w:szCs w:val="32"/>
        </w:rPr>
        <w:t>牵头单位：团县委；参加单位：县人力社保局、县农业农村局、县经信局、县金融办</w:t>
      </w:r>
      <w:r>
        <w:rPr>
          <w:rFonts w:hint="eastAsia" w:ascii="仿宋_GB2312" w:hAnsi="仿宋_GB2312" w:eastAsia="仿宋_GB2312" w:cs="仿宋_GB2312"/>
          <w:b/>
          <w:sz w:val="32"/>
          <w:szCs w:val="32"/>
        </w:rPr>
        <w:t>）</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4.加强青年就业权益保障。</w:t>
      </w:r>
      <w:r>
        <w:rPr>
          <w:rFonts w:hint="eastAsia" w:ascii="仿宋_GB2312" w:hAnsi="仿宋_GB2312" w:eastAsia="仿宋_GB2312" w:cs="仿宋_GB2312"/>
          <w:sz w:val="32"/>
          <w:szCs w:val="32"/>
        </w:rPr>
        <w:t>加大劳动保障监察执法、劳动人事争议调解仲裁诉讼、安全生产监管监察工作力度，加强人力资源市场监管，营造公平就业环境。完善失业保险与就业保障的联动机制，完善青年创业各项社保补贴政策。探索数字经济背景下的青年就业权益保障机制，将其纳入法律法规保护框架。</w:t>
      </w:r>
      <w:r>
        <w:rPr>
          <w:rFonts w:hint="eastAsia" w:ascii="仿宋_GB2312" w:hAnsi="仿宋_GB2312" w:eastAsia="仿宋_GB2312" w:cs="仿宋_GB2312"/>
          <w:b/>
          <w:sz w:val="32"/>
          <w:szCs w:val="32"/>
        </w:rPr>
        <w:t>（</w:t>
      </w:r>
      <w:r>
        <w:rPr>
          <w:rFonts w:hint="eastAsia" w:ascii="仿宋_GB2312" w:hAnsi="仿宋_GB2312" w:eastAsia="仿宋_GB2312" w:cs="仿宋_GB2312"/>
          <w:b/>
          <w:bCs/>
          <w:color w:val="000000"/>
          <w:sz w:val="32"/>
          <w:szCs w:val="32"/>
        </w:rPr>
        <w:t>牵头单位：县人力社保局；参加单位：县民政局、团县委、县总工会</w:t>
      </w:r>
      <w:r>
        <w:rPr>
          <w:rFonts w:hint="eastAsia" w:ascii="仿宋_GB2312" w:hAnsi="仿宋_GB2312" w:eastAsia="仿宋_GB2312" w:cs="仿宋_GB2312"/>
          <w:b/>
          <w:sz w:val="32"/>
          <w:szCs w:val="32"/>
        </w:rPr>
        <w:t>）</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（六）青年文化</w:t>
      </w:r>
    </w:p>
    <w:p>
      <w:pPr>
        <w:spacing w:line="60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发展目标：</w:t>
      </w:r>
      <w:r>
        <w:rPr>
          <w:rFonts w:hint="eastAsia" w:ascii="仿宋_GB2312" w:hAnsi="仿宋_GB2312" w:eastAsia="仿宋_GB2312" w:cs="仿宋_GB2312"/>
          <w:sz w:val="32"/>
          <w:szCs w:val="32"/>
        </w:rPr>
        <w:t>引导青年增强文化自信和文化担当。青年文化发展的体制机制更加健全，青年人才队伍不断壮大，青年文化环境和服务更加优化完善，具有仙居特色的青年文化活动更加丰富。</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发展措施：</w:t>
      </w:r>
    </w:p>
    <w:p>
      <w:pPr>
        <w:spacing w:line="60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1.加强文化精品创作生产。</w:t>
      </w:r>
      <w:r>
        <w:rPr>
          <w:rFonts w:hint="eastAsia" w:ascii="仿宋_GB2312" w:hAnsi="仿宋_GB2312" w:eastAsia="仿宋_GB2312" w:cs="仿宋_GB2312"/>
          <w:sz w:val="32"/>
          <w:szCs w:val="32"/>
        </w:rPr>
        <w:t>以打造“中国山水画城市·仙人居住的地方”“人间仙居”等城市文化品牌为目标</w:t>
      </w:r>
      <w:r>
        <w:rPr>
          <w:rFonts w:hint="eastAsia" w:ascii="仿宋_GB2312" w:hAnsi="仿宋_GB2312" w:eastAsia="仿宋_GB2312" w:cs="仿宋_GB2312"/>
        </w:rPr>
        <w:footnoteReference w:id="4"/>
      </w:r>
      <w:r>
        <w:rPr>
          <w:rFonts w:hint="eastAsia" w:ascii="仿宋_GB2312" w:hAnsi="仿宋_GB2312" w:eastAsia="仿宋_GB2312" w:cs="仿宋_GB2312"/>
          <w:sz w:val="32"/>
          <w:szCs w:val="32"/>
        </w:rPr>
        <w:t>，鼓励青年文艺工作者深入实际，创作一批能够激励当代青年奋发向上、崇德向善、传承中华文明、讲述仙居故事、突出仙居特色的文化精品，鼓励青年传承仙居“善美”基因。大力推进“九狮图”“无骨花灯”“项斯文化”“御史文化”等宣传、保护和传承，不断提升文化自信。鼓励青年在微电影、短视频、网络创作等方面进行内容创新，突出地方特色，形成网络文化创造的仙居品牌。</w:t>
      </w:r>
      <w:r>
        <w:rPr>
          <w:rFonts w:hint="eastAsia" w:ascii="仿宋_GB2312" w:hAnsi="仿宋_GB2312" w:eastAsia="仿宋_GB2312" w:cs="仿宋_GB2312"/>
          <w:b/>
          <w:sz w:val="32"/>
          <w:szCs w:val="32"/>
        </w:rPr>
        <w:t>（</w:t>
      </w:r>
      <w:r>
        <w:rPr>
          <w:rFonts w:hint="eastAsia" w:ascii="仿宋_GB2312" w:hAnsi="仿宋_GB2312" w:eastAsia="仿宋_GB2312" w:cs="仿宋_GB2312"/>
          <w:b/>
          <w:bCs/>
          <w:color w:val="000000"/>
          <w:sz w:val="32"/>
          <w:szCs w:val="32"/>
        </w:rPr>
        <w:t>牵头单位：县委宣传部、县文化和广电旅游体育局；参加单位：县文明办、县教育局、团县委</w:t>
      </w:r>
      <w:r>
        <w:rPr>
          <w:rFonts w:hint="eastAsia" w:ascii="仿宋_GB2312" w:hAnsi="仿宋_GB2312" w:eastAsia="仿宋_GB2312" w:cs="仿宋_GB2312"/>
          <w:b/>
          <w:sz w:val="32"/>
          <w:szCs w:val="32"/>
        </w:rPr>
        <w:t>）</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2.丰富青年文化活动。</w:t>
      </w:r>
      <w:r>
        <w:rPr>
          <w:rFonts w:hint="eastAsia" w:ascii="仿宋_GB2312" w:hAnsi="仿宋_GB2312" w:eastAsia="仿宋_GB2312" w:cs="仿宋_GB2312"/>
          <w:sz w:val="32"/>
          <w:szCs w:val="32"/>
        </w:rPr>
        <w:t>鼓励文化馆、图书馆、青少年活动中心等公共文化场馆系统开展适应青年需求的文化活动。引进高端文化展演活动，开展优秀传统文化展示与交流活动，满足青年多层次文化需求。深化“互联网+”理念，依托社团、社区、校园、企业等各类实体，线上线下协同联动，组织开展展示、共享、合作、创新等文化交流活动。进一步加大宣传力度，让青年了解仙居文化内涵、知晓仙居文化活动项目和场所、积极参与到仙居的文化活动中来。</w:t>
      </w:r>
      <w:r>
        <w:rPr>
          <w:rFonts w:hint="eastAsia" w:ascii="仿宋_GB2312" w:hAnsi="仿宋_GB2312" w:eastAsia="仿宋_GB2312" w:cs="仿宋_GB2312"/>
          <w:b/>
          <w:sz w:val="32"/>
          <w:szCs w:val="32"/>
        </w:rPr>
        <w:t>（牵头单位：县文化和广电旅游体育局、团县委；参加单位：县委宣传部、县文明办、县教育局）</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3.优化青年文化环境。</w:t>
      </w:r>
      <w:r>
        <w:rPr>
          <w:rFonts w:hint="eastAsia" w:ascii="仿宋_GB2312" w:hAnsi="仿宋_GB2312" w:eastAsia="仿宋_GB2312" w:cs="仿宋_GB2312"/>
          <w:sz w:val="32"/>
          <w:szCs w:val="32"/>
        </w:rPr>
        <w:t>鼓励报刊、网站、电视台等各类媒体设立青年栏目，制作和传播适应青年需求、引导青年健康成长的节目，增加优秀青年文化精品的宣传内容、频次。鼓励组建多种形式的青年文化社团、文化联盟、文化阵地，创新服务方式和服务内容，为青年文化组织开展的培训和服务活动提供资金补贴与场地支持。优化公共文化设施的服务环境与服务功能，推进青年公共文化服务均等化，为外来青年建设者等开展专项服务。</w:t>
      </w:r>
      <w:r>
        <w:rPr>
          <w:rFonts w:hint="eastAsia" w:ascii="仿宋_GB2312" w:hAnsi="仿宋_GB2312" w:eastAsia="仿宋_GB2312" w:cs="仿宋_GB2312"/>
          <w:b/>
          <w:sz w:val="32"/>
          <w:szCs w:val="32"/>
        </w:rPr>
        <w:t>（</w:t>
      </w:r>
      <w:r>
        <w:rPr>
          <w:rFonts w:hint="eastAsia" w:ascii="仿宋_GB2312" w:hAnsi="仿宋_GB2312" w:eastAsia="仿宋_GB2312" w:cs="仿宋_GB2312"/>
          <w:b/>
          <w:bCs/>
          <w:color w:val="000000"/>
          <w:sz w:val="32"/>
          <w:szCs w:val="32"/>
        </w:rPr>
        <w:t>牵头单位：县委宣传部、县文明办、县文化和广电旅游体育局；参加单位：县教育局、团县委</w:t>
      </w:r>
      <w:r>
        <w:rPr>
          <w:rFonts w:hint="eastAsia" w:ascii="仿宋_GB2312" w:hAnsi="仿宋_GB2312" w:eastAsia="仿宋_GB2312" w:cs="仿宋_GB2312"/>
          <w:b/>
          <w:sz w:val="32"/>
          <w:szCs w:val="32"/>
        </w:rPr>
        <w:t>）</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4.扶持青年文化建设。</w:t>
      </w:r>
      <w:r>
        <w:rPr>
          <w:rFonts w:hint="eastAsia" w:ascii="仿宋_GB2312" w:hAnsi="仿宋_GB2312" w:eastAsia="仿宋_GB2312" w:cs="仿宋_GB2312"/>
          <w:sz w:val="32"/>
          <w:szCs w:val="32"/>
        </w:rPr>
        <w:t>扶持以服务青年为主要对象的报纸、刊物、新闻出版和网站等文化企事业单位发展。强化全县各级青少年教育基地、青少年活动中心等文化阵地建设。通过政府购买服务等方式，鼓励青年文化团体、青年文化阵地等社会力量承接青年文化服务。鼓励政府投资、资助或拥有知识产权的文化产品无偿用于公益性青年文化活动和服务。</w:t>
      </w:r>
      <w:r>
        <w:rPr>
          <w:rFonts w:hint="eastAsia" w:ascii="仿宋_GB2312" w:hAnsi="仿宋_GB2312" w:eastAsia="仿宋_GB2312" w:cs="仿宋_GB2312"/>
          <w:b/>
          <w:sz w:val="32"/>
          <w:szCs w:val="32"/>
        </w:rPr>
        <w:t>（</w:t>
      </w:r>
      <w:r>
        <w:rPr>
          <w:rFonts w:hint="eastAsia" w:ascii="仿宋_GB2312" w:hAnsi="仿宋_GB2312" w:eastAsia="仿宋_GB2312" w:cs="仿宋_GB2312"/>
          <w:b/>
          <w:bCs/>
          <w:color w:val="000000"/>
          <w:sz w:val="32"/>
          <w:szCs w:val="32"/>
        </w:rPr>
        <w:t>牵头单位：县委宣传部、县文化和广电旅游体育局；参加单位：县文明办、团县委</w:t>
      </w:r>
      <w:r>
        <w:rPr>
          <w:rFonts w:hint="eastAsia" w:ascii="仿宋_GB2312" w:hAnsi="仿宋_GB2312" w:eastAsia="仿宋_GB2312" w:cs="仿宋_GB2312"/>
          <w:b/>
          <w:sz w:val="32"/>
          <w:szCs w:val="32"/>
        </w:rPr>
        <w:t>）</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（七）青年社会融入与社会参与</w:t>
      </w:r>
    </w:p>
    <w:p>
      <w:pPr>
        <w:spacing w:line="60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发展目标：</w:t>
      </w:r>
      <w:r>
        <w:rPr>
          <w:rFonts w:hint="eastAsia" w:ascii="仿宋_GB2312" w:hAnsi="仿宋_GB2312" w:eastAsia="仿宋_GB2312" w:cs="仿宋_GB2312"/>
          <w:sz w:val="32"/>
          <w:szCs w:val="32"/>
        </w:rPr>
        <w:t>丰富和畅通青年社会参与的渠道和方式，引导青年积极适应社会、融入社会，推动青年积极主动参与社会主义现代化建设。青年社会参与空间不断拓展、参与权利不断扩充、参与渠道不断丰富，青年有序政治参与不断深入，对基层社会治理现代化支撑进一步增强。</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发展措施：</w:t>
      </w:r>
    </w:p>
    <w:p>
      <w:pPr>
        <w:spacing w:line="60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1.增强青年政治参与意识，提升政治参与能力。</w:t>
      </w:r>
      <w:r>
        <w:rPr>
          <w:rFonts w:hint="eastAsia" w:ascii="仿宋_GB2312" w:hAnsi="仿宋_GB2312" w:eastAsia="仿宋_GB2312" w:cs="仿宋_GB2312"/>
          <w:sz w:val="32"/>
          <w:szCs w:val="32"/>
        </w:rPr>
        <w:t>充分发挥共青团、青联组织联系服务青年的桥梁和纽带作用，多渠道引导青年参与政治生活。定期开展“共青团与人大代表、政协委员面对面”等活动，加强对青年网络政治参与行为的引导，不断完善青年利益诉求表达机制。支持青年积极参与学校、企事业单位、社区建设和民主管理。推荐优秀青年代表担任人民陪审员、人民监督员、人民调解员等，依法履行相关职责。</w:t>
      </w:r>
      <w:r>
        <w:rPr>
          <w:rFonts w:hint="eastAsia" w:ascii="仿宋_GB2312" w:hAnsi="仿宋_GB2312" w:eastAsia="仿宋_GB2312" w:cs="仿宋_GB2312"/>
          <w:b/>
          <w:sz w:val="32"/>
          <w:szCs w:val="32"/>
        </w:rPr>
        <w:t>（</w:t>
      </w:r>
      <w:r>
        <w:rPr>
          <w:rFonts w:hint="eastAsia" w:ascii="仿宋_GB2312" w:hAnsi="仿宋_GB2312" w:eastAsia="仿宋_GB2312" w:cs="仿宋_GB2312"/>
          <w:b/>
          <w:bCs/>
          <w:color w:val="000000"/>
          <w:sz w:val="32"/>
          <w:szCs w:val="32"/>
        </w:rPr>
        <w:t>牵头单位：团县委；参加单位：县人大办、县政协办、县法院、县检察院、县司法局</w:t>
      </w:r>
      <w:r>
        <w:rPr>
          <w:rFonts w:hint="eastAsia" w:ascii="仿宋_GB2312" w:hAnsi="仿宋_GB2312" w:eastAsia="仿宋_GB2312" w:cs="仿宋_GB2312"/>
          <w:b/>
          <w:sz w:val="32"/>
          <w:szCs w:val="32"/>
        </w:rPr>
        <w:t>）</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2.促进青年社会组织健康有序发展。</w:t>
      </w:r>
      <w:r>
        <w:rPr>
          <w:rFonts w:hint="eastAsia" w:ascii="仿宋_GB2312" w:hAnsi="仿宋_GB2312" w:eastAsia="仿宋_GB2312" w:cs="仿宋_GB2312"/>
          <w:sz w:val="32"/>
          <w:szCs w:val="32"/>
        </w:rPr>
        <w:t>加强对青年社会组织的政治引领，促进青年社会组织健康有序发展，完善党委和政府与青年社会组织的沟通交流机制。完善青年社会组织的登记备案制度。推动青年社会组织工作队伍的专业化、职业化发展。加强青少年事务社工队伍建设。建立完善青年社会组织监督管理机制，构建青年社会组织协同参与体系。</w:t>
      </w:r>
      <w:r>
        <w:rPr>
          <w:rFonts w:hint="eastAsia" w:ascii="仿宋_GB2312" w:hAnsi="仿宋_GB2312" w:eastAsia="仿宋_GB2312" w:cs="仿宋_GB2312"/>
          <w:b/>
          <w:sz w:val="32"/>
          <w:szCs w:val="32"/>
        </w:rPr>
        <w:t>（牵头单位：县民政局；参加单位：团县委）</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3.引导青年主动投身志愿服务。</w:t>
      </w:r>
      <w:r>
        <w:rPr>
          <w:rFonts w:hint="eastAsia" w:ascii="仿宋_GB2312" w:hAnsi="仿宋_GB2312" w:eastAsia="仿宋_GB2312" w:cs="仿宋_GB2312"/>
          <w:sz w:val="32"/>
          <w:szCs w:val="32"/>
        </w:rPr>
        <w:t>大力弘扬志愿服务精神，培训青年志愿者，壮大志愿服务队伍。培育专业型青年志愿服务组织，提升专业化水平。打造一批青年志愿服务品牌项目，吸引和鼓励青年参与全国文明城市创建、平安仙居建设、全域旅游、大型赛会等各领域的志愿服务和公益事业。围绕团省委“我在窗口写青春”浙江青年携手共同富裕先锋行动，为仙居打造高质量发展建设共同富裕示范区山区样板贡献青年智慧、青年担当。广泛传播志愿服务文化，推动志愿服务纳入中小学课程综合评价体系，进一步完善志愿服务激励政策。</w:t>
      </w:r>
      <w:r>
        <w:rPr>
          <w:rFonts w:hint="eastAsia" w:ascii="仿宋_GB2312" w:hAnsi="仿宋_GB2312" w:eastAsia="仿宋_GB2312" w:cs="仿宋_GB2312"/>
          <w:b/>
          <w:sz w:val="32"/>
          <w:szCs w:val="32"/>
        </w:rPr>
        <w:t>（</w:t>
      </w:r>
      <w:r>
        <w:rPr>
          <w:rFonts w:hint="eastAsia" w:ascii="仿宋_GB2312" w:hAnsi="仿宋_GB2312" w:eastAsia="仿宋_GB2312" w:cs="仿宋_GB2312"/>
          <w:b/>
          <w:bCs/>
          <w:color w:val="000000"/>
          <w:sz w:val="32"/>
          <w:szCs w:val="32"/>
        </w:rPr>
        <w:t>牵头单位：团县委、县文明办；参加单位：县教育局</w:t>
      </w:r>
      <w:r>
        <w:rPr>
          <w:rFonts w:hint="eastAsia" w:ascii="仿宋_GB2312" w:hAnsi="仿宋_GB2312" w:eastAsia="仿宋_GB2312" w:cs="仿宋_GB2312"/>
          <w:b/>
          <w:sz w:val="32"/>
          <w:szCs w:val="32"/>
        </w:rPr>
        <w:t>）</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4.推动青年社会融入。</w:t>
      </w:r>
      <w:r>
        <w:rPr>
          <w:rFonts w:hint="eastAsia" w:ascii="仿宋_GB2312" w:hAnsi="仿宋_GB2312" w:eastAsia="仿宋_GB2312" w:cs="仿宋_GB2312"/>
          <w:sz w:val="32"/>
          <w:szCs w:val="32"/>
        </w:rPr>
        <w:t>进一步加强家庭、学校、社会三方联动与相互协同，充分发挥三者在促进青少年认识社会、适应社会和融入社会中的优势作用。积极为青少年接触社会、开展社会交往创造有利条件，为青年体验社会、参与课外活动和校外实践提供指导与支持。鼓励在仙居务工、创业就业等各类青年群体进行多样化社会参与、个性化自我发展。依托青年之家常态化举办各级各类青年交流活动，积极促进外来青年更好的了解仙居、爱上仙居。</w:t>
      </w:r>
      <w:r>
        <w:rPr>
          <w:rFonts w:hint="eastAsia" w:ascii="仿宋_GB2312" w:hAnsi="仿宋_GB2312" w:eastAsia="仿宋_GB2312" w:cs="仿宋_GB2312"/>
          <w:b/>
          <w:sz w:val="32"/>
          <w:szCs w:val="32"/>
        </w:rPr>
        <w:t>（</w:t>
      </w:r>
      <w:r>
        <w:rPr>
          <w:rFonts w:hint="eastAsia" w:ascii="仿宋_GB2312" w:hAnsi="仿宋_GB2312" w:eastAsia="仿宋_GB2312" w:cs="仿宋_GB2312"/>
          <w:b/>
          <w:bCs/>
          <w:color w:val="000000"/>
          <w:sz w:val="32"/>
          <w:szCs w:val="32"/>
        </w:rPr>
        <w:t>牵头单位：团县委、县教育局；参加单位：县民政局</w:t>
      </w:r>
      <w:r>
        <w:rPr>
          <w:rFonts w:hint="eastAsia" w:ascii="仿宋_GB2312" w:hAnsi="仿宋_GB2312" w:eastAsia="仿宋_GB2312" w:cs="仿宋_GB2312"/>
          <w:b/>
          <w:sz w:val="32"/>
          <w:szCs w:val="32"/>
        </w:rPr>
        <w:t>）</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（八）青年人才</w:t>
      </w:r>
    </w:p>
    <w:p>
      <w:pPr>
        <w:spacing w:line="60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发展目标：</w:t>
      </w:r>
      <w:r>
        <w:rPr>
          <w:rFonts w:hint="eastAsia" w:ascii="仿宋_GB2312" w:hAnsi="仿宋_GB2312" w:eastAsia="仿宋_GB2312" w:cs="仿宋_GB2312"/>
          <w:sz w:val="32"/>
          <w:szCs w:val="32"/>
        </w:rPr>
        <w:t>党政人才、企业经营管理人才、专业技术人才、高技能人才、农村实用人才、社会工作人才统筹推进。</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发展措施：</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1.加强高校毕业生引育。</w:t>
      </w:r>
      <w:r>
        <w:rPr>
          <w:rFonts w:hint="eastAsia" w:ascii="仿宋_GB2312" w:hAnsi="仿宋_GB2312" w:eastAsia="仿宋_GB2312" w:cs="仿宋_GB2312"/>
          <w:sz w:val="32"/>
          <w:szCs w:val="32"/>
        </w:rPr>
        <w:t>构建覆盖全国的引才网络，积极引进高校毕业生来仙居就业。推动在仙居的企事业单位开辟实习岗位和公益岗位，加强相关实习岗位和公益岗位的补助力度，吸引大中专学生来仙居实习锻炼和进行社会实践，建立“实习+就业”引才模式。</w:t>
      </w:r>
      <w:r>
        <w:rPr>
          <w:rFonts w:hint="eastAsia" w:ascii="仿宋_GB2312" w:hAnsi="仿宋_GB2312" w:eastAsia="仿宋_GB2312" w:cs="仿宋_GB2312"/>
          <w:b/>
          <w:sz w:val="32"/>
          <w:szCs w:val="32"/>
        </w:rPr>
        <w:t>（</w:t>
      </w:r>
      <w:r>
        <w:rPr>
          <w:rFonts w:hint="eastAsia" w:ascii="仿宋_GB2312" w:hAnsi="仿宋_GB2312" w:eastAsia="仿宋_GB2312" w:cs="仿宋_GB2312"/>
          <w:b/>
          <w:bCs/>
          <w:color w:val="000000"/>
          <w:sz w:val="32"/>
          <w:szCs w:val="32"/>
        </w:rPr>
        <w:t>牵头单位：县委人才办、县人力社保局、团县委；参加单位：县委宣传部、县教育局</w:t>
      </w:r>
      <w:r>
        <w:rPr>
          <w:rFonts w:hint="eastAsia" w:ascii="仿宋_GB2312" w:hAnsi="仿宋_GB2312" w:eastAsia="仿宋_GB2312" w:cs="仿宋_GB2312"/>
          <w:b/>
          <w:sz w:val="32"/>
          <w:szCs w:val="32"/>
        </w:rPr>
        <w:t>）</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2.加强原籍青年人才回流。</w:t>
      </w:r>
      <w:r>
        <w:rPr>
          <w:rFonts w:hint="eastAsia" w:ascii="仿宋_GB2312" w:hAnsi="仿宋_GB2312" w:eastAsia="仿宋_GB2312" w:cs="仿宋_GB2312"/>
          <w:sz w:val="32"/>
          <w:szCs w:val="32"/>
        </w:rPr>
        <w:t>加强对仙居籍青年人才的跟踪、联络和服务，扶持开展仙居县在外优秀人才工作。发挥仙居县大学生联合会作用，提高仙居籍青年人才回流率。组织仙居青年在中学阶段走进仙居优秀企业开展研学活动，促进仙居企业与仙居青年的结对认亲，为仙居青年学成后归乡植厚情感基础。</w:t>
      </w:r>
      <w:r>
        <w:rPr>
          <w:rFonts w:hint="eastAsia" w:ascii="仿宋_GB2312" w:hAnsi="仿宋_GB2312" w:eastAsia="仿宋_GB2312" w:cs="仿宋_GB2312"/>
          <w:b/>
          <w:sz w:val="32"/>
          <w:szCs w:val="32"/>
        </w:rPr>
        <w:t>（</w:t>
      </w:r>
      <w:r>
        <w:rPr>
          <w:rFonts w:hint="eastAsia" w:ascii="仿宋_GB2312" w:hAnsi="仿宋_GB2312" w:eastAsia="仿宋_GB2312" w:cs="仿宋_GB2312"/>
          <w:b/>
          <w:bCs/>
          <w:color w:val="000000"/>
          <w:sz w:val="32"/>
          <w:szCs w:val="32"/>
        </w:rPr>
        <w:t>牵头单位：县委人才办、县人力社保局、团县委；参加单位：县委宣传部、县教育局</w:t>
      </w:r>
      <w:r>
        <w:rPr>
          <w:rFonts w:hint="eastAsia" w:ascii="仿宋_GB2312" w:hAnsi="仿宋_GB2312" w:eastAsia="仿宋_GB2312" w:cs="仿宋_GB2312"/>
          <w:b/>
          <w:sz w:val="32"/>
          <w:szCs w:val="32"/>
        </w:rPr>
        <w:t>）</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3.加强青年人才培育。</w:t>
      </w:r>
      <w:r>
        <w:rPr>
          <w:rFonts w:hint="eastAsia" w:ascii="仿宋_GB2312" w:hAnsi="仿宋_GB2312" w:eastAsia="仿宋_GB2312" w:cs="仿宋_GB2312"/>
          <w:sz w:val="32"/>
          <w:szCs w:val="32"/>
        </w:rPr>
        <w:t>鼓励企业与高校院所、各大平台开展产学研合作，开展先进技术成果转化、国际创新人才团队培育、产业前瞻性技术交流合作等。扶持台州学院文化旅游与大健康产业学院和台州学院文化旅游与大健康学院发展，“牵手”共同培养文化旅游与大健康产业人才。提高农村实用人才资源总量与增量，培养和凝聚一批有文化、懂技术、善经营、会管理的农村创业人才。</w:t>
      </w:r>
      <w:r>
        <w:rPr>
          <w:rFonts w:hint="eastAsia" w:ascii="仿宋_GB2312" w:hAnsi="仿宋_GB2312" w:eastAsia="仿宋_GB2312" w:cs="仿宋_GB2312"/>
          <w:b/>
          <w:sz w:val="32"/>
          <w:szCs w:val="32"/>
        </w:rPr>
        <w:t>（</w:t>
      </w:r>
      <w:r>
        <w:rPr>
          <w:rFonts w:hint="eastAsia" w:ascii="仿宋_GB2312" w:hAnsi="仿宋_GB2312" w:eastAsia="仿宋_GB2312" w:cs="仿宋_GB2312"/>
          <w:b/>
          <w:bCs/>
          <w:color w:val="000000"/>
          <w:sz w:val="32"/>
          <w:szCs w:val="32"/>
        </w:rPr>
        <w:t>牵头单位：县委人才办、县人力社保局；参加单位：县教育局、团县委、县文化和广电旅游体育局、县农业农村局</w:t>
      </w:r>
      <w:r>
        <w:rPr>
          <w:rFonts w:hint="eastAsia" w:ascii="仿宋_GB2312" w:hAnsi="仿宋_GB2312" w:eastAsia="仿宋_GB2312" w:cs="仿宋_GB2312"/>
          <w:b/>
          <w:sz w:val="32"/>
          <w:szCs w:val="32"/>
        </w:rPr>
        <w:t>）</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4.加强青年人才队伍建设。</w:t>
      </w:r>
      <w:r>
        <w:rPr>
          <w:rFonts w:hint="eastAsia" w:ascii="仿宋_GB2312" w:hAnsi="仿宋_GB2312" w:eastAsia="仿宋_GB2312" w:cs="仿宋_GB2312"/>
          <w:sz w:val="32"/>
          <w:szCs w:val="32"/>
        </w:rPr>
        <w:t>不拘一格创新青年人才发现和培养体系，完善青年人才激励和保障机制。实施青年人力资源提升行动计划，重点培育各类拔尖创新人才。加大对非公有制经济和社会组织青年人才的培养力度。</w:t>
      </w:r>
      <w:r>
        <w:rPr>
          <w:rFonts w:hint="eastAsia" w:ascii="仿宋_GB2312" w:hAnsi="仿宋_GB2312" w:eastAsia="仿宋_GB2312" w:cs="仿宋_GB2312"/>
          <w:b/>
          <w:sz w:val="32"/>
          <w:szCs w:val="32"/>
        </w:rPr>
        <w:t>（</w:t>
      </w:r>
      <w:r>
        <w:rPr>
          <w:rFonts w:hint="eastAsia" w:ascii="仿宋_GB2312" w:hAnsi="仿宋_GB2312" w:eastAsia="仿宋_GB2312" w:cs="仿宋_GB2312"/>
          <w:b/>
          <w:bCs/>
          <w:color w:val="000000"/>
          <w:sz w:val="32"/>
          <w:szCs w:val="32"/>
        </w:rPr>
        <w:t>牵头单位：县委人才办、县人力社保局、团县委；参加单位：县经信局</w:t>
      </w:r>
      <w:r>
        <w:rPr>
          <w:rFonts w:hint="eastAsia" w:ascii="仿宋_GB2312" w:hAnsi="仿宋_GB2312" w:eastAsia="仿宋_GB2312" w:cs="仿宋_GB2312"/>
          <w:b/>
          <w:sz w:val="32"/>
          <w:szCs w:val="32"/>
        </w:rPr>
        <w:t>）</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（九）青少年合法权益维护</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发展目标：</w:t>
      </w:r>
      <w:r>
        <w:rPr>
          <w:rFonts w:hint="eastAsia" w:ascii="仿宋_GB2312" w:hAnsi="仿宋_GB2312" w:eastAsia="仿宋_GB2312" w:cs="仿宋_GB2312"/>
          <w:bCs/>
          <w:sz w:val="32"/>
          <w:szCs w:val="32"/>
        </w:rPr>
        <w:t>全面贯彻、落实和完善青少年发展相关法律、法规和政策，健全工作体系和工作机制，切实保障和维护青少年健康成长及社会保障等各项合法权益，有力打击和有效遏制侵害青少年合法权益的行为。</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发展措施：</w:t>
      </w:r>
    </w:p>
    <w:p>
      <w:pPr>
        <w:widowControl/>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1.贯彻实施青少年发展的法律法规。</w:t>
      </w:r>
      <w:r>
        <w:rPr>
          <w:rFonts w:hint="eastAsia" w:ascii="仿宋_GB2312" w:hAnsi="仿宋_GB2312" w:eastAsia="仿宋_GB2312" w:cs="仿宋_GB2312"/>
          <w:sz w:val="32"/>
          <w:szCs w:val="32"/>
        </w:rPr>
        <w:t>深入贯彻落实《中华人民共和国未成年人保护法》《中华人民共和国预防未成年人犯罪法》《浙江省未成年人保护条例》以及教育、卫生、就业创业、社会保障等涉及青少年权益的法律法规，监督涉及青少年权益的法律法规和政策执行。</w:t>
      </w:r>
      <w:r>
        <w:rPr>
          <w:rFonts w:ascii="仿宋_GB2312" w:hAnsi="宋体" w:eastAsia="仿宋_GB2312" w:cs="仿宋_GB2312"/>
          <w:color w:val="000000"/>
          <w:kern w:val="0"/>
          <w:sz w:val="32"/>
          <w:szCs w:val="32"/>
        </w:rPr>
        <w:t>及时了解和研</w:t>
      </w:r>
      <w:r>
        <w:rPr>
          <w:rFonts w:hint="eastAsia" w:ascii="仿宋_GB2312" w:hAnsi="宋体" w:eastAsia="仿宋_GB2312" w:cs="仿宋_GB2312"/>
          <w:color w:val="000000"/>
          <w:kern w:val="0"/>
          <w:sz w:val="32"/>
          <w:szCs w:val="32"/>
        </w:rPr>
        <w:t>判青年发展状况，代表青年向有关部门反映问题、提出建议，推动及时有效解决青年实现发展权益面临的现实困难和突出问题。</w:t>
      </w:r>
      <w:r>
        <w:rPr>
          <w:rFonts w:hint="eastAsia" w:ascii="仿宋_GB2312" w:hAnsi="仿宋_GB2312" w:eastAsia="仿宋_GB2312" w:cs="仿宋_GB2312"/>
          <w:b/>
          <w:sz w:val="32"/>
          <w:szCs w:val="32"/>
        </w:rPr>
        <w:t>（</w:t>
      </w:r>
      <w:r>
        <w:rPr>
          <w:rFonts w:hint="eastAsia" w:ascii="仿宋_GB2312" w:hAnsi="仿宋_GB2312" w:eastAsia="仿宋_GB2312" w:cs="仿宋_GB2312"/>
          <w:b/>
          <w:bCs/>
          <w:color w:val="000000"/>
          <w:sz w:val="32"/>
          <w:szCs w:val="32"/>
        </w:rPr>
        <w:t>牵头单位：县司法局；参加单位：县公安局、县检察院、县法院、团县委</w:t>
      </w:r>
      <w:r>
        <w:rPr>
          <w:rFonts w:hint="eastAsia" w:ascii="仿宋_GB2312" w:hAnsi="仿宋_GB2312" w:eastAsia="仿宋_GB2312" w:cs="仿宋_GB2312"/>
          <w:b/>
          <w:sz w:val="32"/>
          <w:szCs w:val="32"/>
        </w:rPr>
        <w:t>）</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2.健全完善青少年权益保护机制。</w:t>
      </w:r>
      <w:r>
        <w:rPr>
          <w:rFonts w:ascii="仿宋_GB2312" w:hAnsi="宋体" w:eastAsia="仿宋_GB2312" w:cs="仿宋_GB2312"/>
          <w:color w:val="000000"/>
          <w:kern w:val="0"/>
          <w:sz w:val="32"/>
          <w:szCs w:val="32"/>
        </w:rPr>
        <w:t>尊重青年主体地位，着眼青年</w:t>
      </w:r>
      <w:r>
        <w:rPr>
          <w:rFonts w:hint="eastAsia" w:ascii="仿宋_GB2312" w:hAnsi="宋体" w:eastAsia="仿宋_GB2312" w:cs="仿宋_GB2312"/>
          <w:color w:val="000000"/>
          <w:kern w:val="0"/>
          <w:sz w:val="32"/>
          <w:szCs w:val="32"/>
        </w:rPr>
        <w:t>多元需求，努力拓宽青少年维权渠道。建立青年权益状况舆情监测体系，完善“应急处置预案制度和责任追究体系，落实‘分级响应、分层管理、全县联动’的响应机制”，及时防范化解青少年领域重大舆情。加强对弱势青年群体及其未成年子女等群体的关爱和权益维护工作。完善青少年权益维护工作网络，建立一批青少年社会实践基地、普法教育基地和社会观护基地。推进青少年权益工作专业化、社会化，鼓励和支持全县法律服务机构、社会组织、青少年社会工作者等依法为未成年人提供公益性法律服务和援助，重点呵护青少年的成长发展、保障青少年合法权益。</w:t>
      </w:r>
      <w:r>
        <w:rPr>
          <w:rFonts w:hint="eastAsia" w:ascii="仿宋_GB2312" w:hAnsi="仿宋_GB2312" w:eastAsia="仿宋_GB2312" w:cs="仿宋_GB2312"/>
          <w:b/>
          <w:sz w:val="32"/>
          <w:szCs w:val="32"/>
        </w:rPr>
        <w:t>（</w:t>
      </w:r>
      <w:r>
        <w:rPr>
          <w:rFonts w:hint="eastAsia" w:ascii="仿宋_GB2312" w:hAnsi="仿宋_GB2312" w:eastAsia="仿宋_GB2312" w:cs="仿宋_GB2312"/>
          <w:b/>
          <w:bCs/>
          <w:color w:val="000000"/>
          <w:sz w:val="32"/>
          <w:szCs w:val="32"/>
        </w:rPr>
        <w:t>牵头单位：县委政法委；参加单位：县公安局、县检察院、县法院、县司法局、县民政局、团县委</w:t>
      </w:r>
      <w:r>
        <w:rPr>
          <w:rFonts w:hint="eastAsia" w:ascii="仿宋_GB2312" w:hAnsi="仿宋_GB2312" w:eastAsia="仿宋_GB2312" w:cs="仿宋_GB2312"/>
          <w:b/>
          <w:sz w:val="32"/>
          <w:szCs w:val="32"/>
        </w:rPr>
        <w:t>）</w:t>
      </w:r>
    </w:p>
    <w:p>
      <w:pPr>
        <w:widowControl/>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3.依法打击侵害青少年合法权益的行为。</w:t>
      </w:r>
      <w:r>
        <w:rPr>
          <w:rFonts w:hint="eastAsia" w:ascii="仿宋_GB2312" w:hAnsi="仿宋_GB2312" w:eastAsia="仿宋_GB2312" w:cs="仿宋_GB2312"/>
          <w:sz w:val="32"/>
          <w:szCs w:val="32"/>
        </w:rPr>
        <w:t>严厉打击拐卖、性侵害、遗弃、虐待等侵害未成年人合法权益的违法犯罪行为。</w:t>
      </w:r>
      <w:r>
        <w:rPr>
          <w:rFonts w:ascii="仿宋_GB2312" w:hAnsi="宋体" w:eastAsia="仿宋_GB2312" w:cs="仿宋_GB2312"/>
          <w:color w:val="000000"/>
          <w:kern w:val="0"/>
          <w:sz w:val="32"/>
          <w:szCs w:val="32"/>
        </w:rPr>
        <w:t>深</w:t>
      </w:r>
      <w:r>
        <w:rPr>
          <w:rFonts w:hint="eastAsia" w:ascii="仿宋_GB2312" w:hAnsi="宋体" w:eastAsia="仿宋_GB2312" w:cs="仿宋_GB2312"/>
          <w:color w:val="000000"/>
          <w:kern w:val="0"/>
          <w:sz w:val="32"/>
          <w:szCs w:val="32"/>
        </w:rPr>
        <w:t>化未成年人司法社会服务工作体系建设，落实异常青少年预警干预机制、未成年人关护工作机制和涉性侵犯违法犯罪行为从业限制制度。</w:t>
      </w:r>
      <w:r>
        <w:rPr>
          <w:rFonts w:ascii="仿宋_GB2312" w:hAnsi="宋体" w:eastAsia="仿宋_GB2312" w:cs="仿宋_GB2312"/>
          <w:color w:val="000000"/>
          <w:kern w:val="0"/>
          <w:sz w:val="32"/>
          <w:szCs w:val="32"/>
        </w:rPr>
        <w:t>充分发挥未成年人司法专门机构的作用，健全办理</w:t>
      </w:r>
      <w:r>
        <w:rPr>
          <w:rFonts w:hint="eastAsia" w:ascii="仿宋_GB2312" w:hAnsi="宋体" w:eastAsia="仿宋_GB2312" w:cs="仿宋_GB2312"/>
          <w:color w:val="000000"/>
          <w:kern w:val="0"/>
          <w:sz w:val="32"/>
          <w:szCs w:val="32"/>
        </w:rPr>
        <w:t>未成年人刑事案件配套工作体系，全面落实未成年人附条件不起诉、法律援助、犯罪记录封存等制度，持续探索未成年人案件办理专业化。</w:t>
      </w:r>
      <w:r>
        <w:rPr>
          <w:rFonts w:hint="eastAsia" w:ascii="仿宋_GB2312" w:hAnsi="仿宋_GB2312" w:eastAsia="仿宋_GB2312" w:cs="仿宋_GB2312"/>
          <w:sz w:val="32"/>
          <w:szCs w:val="32"/>
        </w:rPr>
        <w:t>大力开展青少年禁毒工作，依法惩处涉及青少年的毒品违法犯罪活动。加大对青少年文化教育、消费权益保护、校园周边食品安全、青少年用品质量抽检等市场监管力度。加大网络领域综合执法和惩处力度，规范网络游戏市场和网络文化市场，严厉打击各类涉及青少年的网络违法犯罪。</w:t>
      </w:r>
      <w:r>
        <w:rPr>
          <w:rFonts w:hint="eastAsia" w:ascii="仿宋_GB2312" w:hAnsi="仿宋_GB2312" w:eastAsia="仿宋_GB2312" w:cs="仿宋_GB2312"/>
          <w:b/>
          <w:sz w:val="32"/>
          <w:szCs w:val="32"/>
        </w:rPr>
        <w:t>（</w:t>
      </w:r>
      <w:r>
        <w:rPr>
          <w:rFonts w:hint="eastAsia" w:ascii="仿宋_GB2312" w:hAnsi="仿宋_GB2312" w:eastAsia="仿宋_GB2312" w:cs="仿宋_GB2312"/>
          <w:b/>
          <w:bCs/>
          <w:color w:val="000000"/>
          <w:sz w:val="32"/>
          <w:szCs w:val="32"/>
        </w:rPr>
        <w:t>牵头单位：县委政法委；参加单位：县公安局、县检察院、县法院、县司法局、县教育局、县市场监管局、团县委</w:t>
      </w:r>
      <w:r>
        <w:rPr>
          <w:rFonts w:hint="eastAsia" w:ascii="仿宋_GB2312" w:hAnsi="仿宋_GB2312" w:eastAsia="仿宋_GB2312" w:cs="仿宋_GB2312"/>
          <w:b/>
          <w:sz w:val="32"/>
          <w:szCs w:val="32"/>
        </w:rPr>
        <w:t>）</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4.加强和完善青少年社会保障。</w:t>
      </w:r>
      <w:r>
        <w:rPr>
          <w:rFonts w:ascii="仿宋_GB2312" w:hAnsi="宋体" w:eastAsia="仿宋_GB2312" w:cs="仿宋_GB2312"/>
          <w:color w:val="000000"/>
          <w:kern w:val="0"/>
          <w:sz w:val="32"/>
          <w:szCs w:val="32"/>
        </w:rPr>
        <w:t>健全完善涉及青少年的社会保障体</w:t>
      </w:r>
      <w:r>
        <w:rPr>
          <w:rFonts w:hint="eastAsia" w:ascii="仿宋_GB2312" w:hAnsi="宋体" w:eastAsia="仿宋_GB2312" w:cs="仿宋_GB2312"/>
          <w:color w:val="000000"/>
          <w:kern w:val="0"/>
          <w:sz w:val="32"/>
          <w:szCs w:val="32"/>
        </w:rPr>
        <w:t>系，逐步提高社会保障能力。贯彻落实《台州市最低生活保障实施办法》《台州市临时救助办法》《台州市人民政府办公室关于进一步健全特困人员救助供养制度的实施意见》等相关制度，为困难家庭的失学、失业、失管青年提供经济帮扶。落实《台州市区公共租赁住房管理暂行办法》等制度，将符合住房保障条件的青年群体统筹纳入保障范畴，着力帮助缓解青年的住房难题。规范和</w:t>
      </w:r>
      <w:r>
        <w:rPr>
          <w:rFonts w:ascii="仿宋_GB2312" w:hAnsi="宋体" w:eastAsia="仿宋_GB2312" w:cs="仿宋_GB2312"/>
          <w:color w:val="000000"/>
          <w:kern w:val="0"/>
          <w:sz w:val="32"/>
          <w:szCs w:val="32"/>
        </w:rPr>
        <w:t>残疾人及特教学校、康复服务机构、托养机构等助残机构建</w:t>
      </w:r>
      <w:r>
        <w:rPr>
          <w:rFonts w:hint="eastAsia" w:ascii="仿宋_GB2312" w:hAnsi="宋体" w:eastAsia="仿宋_GB2312" w:cs="仿宋_GB2312"/>
          <w:color w:val="000000"/>
          <w:kern w:val="0"/>
          <w:sz w:val="32"/>
          <w:szCs w:val="32"/>
        </w:rPr>
        <w:t>设，</w:t>
      </w:r>
      <w:r>
        <w:rPr>
          <w:rFonts w:hint="eastAsia" w:ascii="仿宋_GB2312" w:hAnsi="仿宋_GB2312" w:eastAsia="仿宋_GB2312" w:cs="仿宋_GB2312"/>
          <w:sz w:val="32"/>
          <w:szCs w:val="32"/>
        </w:rPr>
        <w:t>完善特殊教育体系及保障机制，</w:t>
      </w:r>
      <w:r>
        <w:rPr>
          <w:rFonts w:hint="eastAsia" w:ascii="仿宋_GB2312" w:hAnsi="宋体" w:eastAsia="仿宋_GB2312" w:cs="仿宋_GB2312"/>
          <w:color w:val="000000"/>
          <w:kern w:val="0"/>
          <w:sz w:val="32"/>
          <w:szCs w:val="32"/>
        </w:rPr>
        <w:t>加快“残疾人之家”升级改造，大力开展面向残疾青年的专业社会工作和志愿服务。强化对闲散未成年人、流浪未成年人、服刑在教人员未成年子女等重点青少年群体的救助服务。完善关爱留守儿童工作体系，</w:t>
      </w:r>
      <w:r>
        <w:rPr>
          <w:rFonts w:hint="eastAsia" w:ascii="仿宋_GB2312" w:hAnsi="仿宋_GB2312" w:eastAsia="仿宋_GB2312" w:cs="仿宋_GB2312"/>
          <w:sz w:val="32"/>
          <w:szCs w:val="32"/>
        </w:rPr>
        <w:t>深入推进农村留守儿童关爱行动，</w:t>
      </w:r>
      <w:r>
        <w:rPr>
          <w:rFonts w:hint="eastAsia" w:ascii="仿宋_GB2312" w:hAnsi="宋体" w:eastAsia="仿宋_GB2312" w:cs="仿宋_GB2312"/>
          <w:color w:val="000000"/>
          <w:kern w:val="0"/>
          <w:sz w:val="32"/>
          <w:szCs w:val="32"/>
        </w:rPr>
        <w:t>呵护和服务留守儿童健康成长。</w:t>
      </w:r>
      <w:r>
        <w:rPr>
          <w:rFonts w:hint="eastAsia" w:ascii="仿宋_GB2312" w:hAnsi="仿宋_GB2312" w:eastAsia="仿宋_GB2312" w:cs="仿宋_GB2312"/>
          <w:sz w:val="32"/>
          <w:szCs w:val="32"/>
        </w:rPr>
        <w:t>探索建立集身体康复、心理疏导、转移安置、技能培训、经济帮扶等为一体的综合救助基地。</w:t>
      </w:r>
      <w:r>
        <w:rPr>
          <w:rFonts w:hint="eastAsia" w:ascii="仿宋_GB2312" w:hAnsi="仿宋_GB2312" w:eastAsia="仿宋_GB2312" w:cs="仿宋_GB2312"/>
          <w:b/>
          <w:sz w:val="32"/>
          <w:szCs w:val="32"/>
        </w:rPr>
        <w:t>（</w:t>
      </w:r>
      <w:r>
        <w:rPr>
          <w:rFonts w:hint="eastAsia" w:ascii="仿宋_GB2312" w:hAnsi="仿宋_GB2312" w:eastAsia="仿宋_GB2312" w:cs="仿宋_GB2312"/>
          <w:b/>
          <w:bCs/>
          <w:color w:val="000000"/>
          <w:sz w:val="32"/>
          <w:szCs w:val="32"/>
        </w:rPr>
        <w:t>牵头单位：县民政局、县人力社保局、县残联；参加单位：县司法局、县教育局、县卫生健康委、团县委</w:t>
      </w:r>
      <w:r>
        <w:rPr>
          <w:rFonts w:hint="eastAsia" w:ascii="仿宋_GB2312" w:hAnsi="仿宋_GB2312" w:eastAsia="仿宋_GB2312" w:cs="仿宋_GB2312"/>
          <w:b/>
          <w:sz w:val="32"/>
          <w:szCs w:val="32"/>
        </w:rPr>
        <w:t>）</w:t>
      </w:r>
    </w:p>
    <w:p>
      <w:pPr>
        <w:spacing w:line="600" w:lineRule="exact"/>
        <w:ind w:firstLine="642" w:firstLineChars="200"/>
        <w:jc w:val="left"/>
        <w:rPr>
          <w:rFonts w:ascii="仿宋_GB2312" w:hAnsi="仿宋_GB2312" w:eastAsia="仿宋_GB2312" w:cs="仿宋_GB2312"/>
          <w:b/>
          <w:sz w:val="32"/>
          <w:szCs w:val="32"/>
        </w:rPr>
      </w:pPr>
      <w:bookmarkStart w:id="5" w:name="_GoBack"/>
      <w:r>
        <w:rPr>
          <w:rFonts w:hint="eastAsia" w:ascii="仿宋_GB2312" w:hAnsi="仿宋_GB2312" w:eastAsia="仿宋_GB2312" w:cs="仿宋_GB2312"/>
          <w:b/>
          <w:sz w:val="32"/>
          <w:szCs w:val="32"/>
        </w:rPr>
        <w:t>（十）预防青少年违法犯罪</w:t>
      </w:r>
      <w:bookmarkEnd w:id="5"/>
    </w:p>
    <w:p>
      <w:pPr>
        <w:spacing w:line="60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发展目标：</w:t>
      </w:r>
      <w:r>
        <w:rPr>
          <w:rFonts w:hint="eastAsia" w:ascii="仿宋_GB2312" w:hAnsi="仿宋_GB2312" w:eastAsia="仿宋_GB2312" w:cs="仿宋_GB2312"/>
          <w:bCs/>
          <w:sz w:val="32"/>
          <w:szCs w:val="32"/>
        </w:rPr>
        <w:t>推动</w:t>
      </w:r>
      <w:r>
        <w:rPr>
          <w:rFonts w:hint="eastAsia" w:ascii="仿宋_GB2312" w:hAnsi="仿宋_GB2312" w:eastAsia="仿宋_GB2312" w:cs="仿宋_GB2312"/>
          <w:sz w:val="32"/>
          <w:szCs w:val="32"/>
        </w:rPr>
        <w:t>青少年法治宣传教育常态化、全覆盖，青少年成长环境进一步净化，比较完善的重点青少年群体服务管理和预防犯罪工作格局加快形成，青少年法治观念和法治意识不断增强，青少年涉案涉罪数据逐步下降。</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发展措施：</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1.加大青少年法治宣传教育。</w:t>
      </w:r>
      <w:r>
        <w:rPr>
          <w:rFonts w:ascii="仿宋_GB2312" w:hAnsi="宋体" w:eastAsia="仿宋_GB2312" w:cs="仿宋_GB2312"/>
          <w:color w:val="000000"/>
          <w:kern w:val="0"/>
          <w:sz w:val="32"/>
          <w:szCs w:val="32"/>
        </w:rPr>
        <w:t>在全</w:t>
      </w:r>
      <w:r>
        <w:rPr>
          <w:rFonts w:hint="eastAsia" w:ascii="仿宋_GB2312" w:hAnsi="宋体" w:eastAsia="仿宋_GB2312" w:cs="仿宋_GB2312"/>
          <w:color w:val="000000"/>
          <w:kern w:val="0"/>
          <w:sz w:val="32"/>
          <w:szCs w:val="32"/>
        </w:rPr>
        <w:t>县</w:t>
      </w:r>
      <w:r>
        <w:rPr>
          <w:rFonts w:ascii="仿宋_GB2312" w:hAnsi="宋体" w:eastAsia="仿宋_GB2312" w:cs="仿宋_GB2312"/>
          <w:color w:val="000000"/>
          <w:kern w:val="0"/>
          <w:sz w:val="32"/>
          <w:szCs w:val="32"/>
        </w:rPr>
        <w:t>青少年中突出宣传习近平法治</w:t>
      </w:r>
      <w:r>
        <w:rPr>
          <w:rFonts w:hint="eastAsia" w:ascii="仿宋_GB2312" w:hAnsi="宋体" w:eastAsia="仿宋_GB2312" w:cs="仿宋_GB2312"/>
          <w:color w:val="000000"/>
          <w:kern w:val="0"/>
          <w:sz w:val="32"/>
          <w:szCs w:val="32"/>
        </w:rPr>
        <w:t>思想，弘扬社会主义法治精神，使青少年在受教育过程中明确基本的法律底线和行为边界，增强法律意识和法律观念，自觉</w:t>
      </w:r>
      <w:r>
        <w:rPr>
          <w:rFonts w:hint="default" w:ascii="仿宋_GB2312" w:hAnsi="宋体" w:eastAsia="仿宋_GB2312" w:cs="仿宋_GB2312"/>
          <w:color w:val="000000"/>
          <w:kern w:val="0"/>
          <w:sz w:val="32"/>
          <w:szCs w:val="32"/>
          <w:lang w:eastAsia="zh-CN"/>
        </w:rPr>
        <w:t>尊法</w:t>
      </w:r>
      <w:r>
        <w:rPr>
          <w:rFonts w:hint="eastAsia" w:ascii="仿宋_GB2312" w:hAnsi="宋体" w:eastAsia="仿宋_GB2312" w:cs="仿宋_GB2312"/>
          <w:color w:val="000000"/>
          <w:kern w:val="0"/>
          <w:sz w:val="32"/>
          <w:szCs w:val="32"/>
        </w:rPr>
        <w:t>学法守法用法。落实“谁执法谁普法、谁主管谁负责”的工作要求和普法责任，形成主次分明、覆盖各行各业、面向不同青年群体的宣传矩阵。坚持课堂教学主渠道，在全县学校配齐配强兼职法治副校长，征集和印发优秀法治教案，上好开学“法治第一课”，重点普及宪法、未成年</w:t>
      </w:r>
      <w:r>
        <w:rPr>
          <w:rFonts w:hint="eastAsia" w:ascii="仿宋_GB2312" w:hAnsi="宋体" w:eastAsia="仿宋_GB2312" w:cs="仿宋_GB2312"/>
          <w:color w:val="000000"/>
          <w:kern w:val="0"/>
          <w:sz w:val="32"/>
          <w:szCs w:val="32"/>
          <w:lang w:eastAsia="zh-CN"/>
        </w:rPr>
        <w:t>人</w:t>
      </w:r>
      <w:r>
        <w:rPr>
          <w:rFonts w:hint="eastAsia" w:ascii="仿宋_GB2312" w:hAnsi="宋体" w:eastAsia="仿宋_GB2312" w:cs="仿宋_GB2312"/>
          <w:color w:val="000000"/>
          <w:kern w:val="0"/>
          <w:sz w:val="32"/>
          <w:szCs w:val="32"/>
        </w:rPr>
        <w:t>保护法、预防未成年人犯罪法等相关法律法规。</w:t>
      </w:r>
      <w:r>
        <w:rPr>
          <w:rFonts w:hint="eastAsia" w:ascii="仿宋_GB2312" w:hAnsi="仿宋_GB2312" w:eastAsia="仿宋_GB2312" w:cs="仿宋_GB2312"/>
          <w:sz w:val="32"/>
          <w:szCs w:val="32"/>
        </w:rPr>
        <w:t>积极开拓第二课堂法治教育，推进融实践性、体验性、趣味性为一体的青少年法治教育基地建设，发展壮大青少年普法工作队伍和志愿者队伍。</w:t>
      </w:r>
      <w:r>
        <w:rPr>
          <w:rFonts w:hint="eastAsia" w:ascii="仿宋_GB2312" w:hAnsi="仿宋_GB2312" w:eastAsia="仿宋_GB2312" w:cs="仿宋_GB2312"/>
          <w:b/>
          <w:sz w:val="32"/>
          <w:szCs w:val="32"/>
        </w:rPr>
        <w:t>（</w:t>
      </w:r>
      <w:r>
        <w:rPr>
          <w:rFonts w:hint="eastAsia" w:ascii="仿宋_GB2312" w:hAnsi="仿宋_GB2312" w:eastAsia="仿宋_GB2312" w:cs="仿宋_GB2312"/>
          <w:b/>
          <w:bCs/>
          <w:color w:val="000000"/>
          <w:sz w:val="32"/>
          <w:szCs w:val="32"/>
        </w:rPr>
        <w:t>牵头单位：县司法局；参加单位：县教育局、县检察院、县法院、团县委</w:t>
      </w:r>
      <w:r>
        <w:rPr>
          <w:rFonts w:hint="eastAsia" w:ascii="仿宋_GB2312" w:hAnsi="仿宋_GB2312" w:eastAsia="仿宋_GB2312" w:cs="仿宋_GB2312"/>
          <w:b/>
          <w:sz w:val="32"/>
          <w:szCs w:val="32"/>
        </w:rPr>
        <w:t>）</w:t>
      </w:r>
    </w:p>
    <w:p>
      <w:pPr>
        <w:widowControl/>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2.优化青少年成长环境。</w:t>
      </w:r>
      <w:r>
        <w:rPr>
          <w:rFonts w:hint="eastAsia" w:ascii="仿宋_GB2312" w:hAnsi="仿宋_GB2312" w:eastAsia="仿宋_GB2312" w:cs="仿宋_GB2312"/>
          <w:sz w:val="32"/>
          <w:szCs w:val="32"/>
        </w:rPr>
        <w:t>普及科学健康的家庭教育理念，</w:t>
      </w:r>
      <w:r>
        <w:rPr>
          <w:rFonts w:ascii="仿宋_GB2312" w:hAnsi="宋体" w:eastAsia="仿宋_GB2312" w:cs="仿宋_GB2312"/>
          <w:color w:val="000000"/>
          <w:kern w:val="0"/>
          <w:sz w:val="32"/>
          <w:szCs w:val="32"/>
        </w:rPr>
        <w:t>倡导构建平等、文明、和谐、稳定的家庭关系，</w:t>
      </w:r>
      <w:r>
        <w:rPr>
          <w:rFonts w:hint="eastAsia" w:ascii="仿宋_GB2312" w:hAnsi="仿宋_GB2312" w:eastAsia="仿宋_GB2312" w:cs="仿宋_GB2312"/>
          <w:sz w:val="32"/>
          <w:szCs w:val="32"/>
        </w:rPr>
        <w:t>预防家庭虐待、忽视和暴力等事件。</w:t>
      </w:r>
      <w:r>
        <w:rPr>
          <w:rFonts w:ascii="仿宋_GB2312" w:hAnsi="宋体" w:eastAsia="仿宋_GB2312" w:cs="仿宋_GB2312"/>
          <w:color w:val="000000"/>
          <w:kern w:val="0"/>
          <w:sz w:val="32"/>
          <w:szCs w:val="32"/>
        </w:rPr>
        <w:t>优化社会文化环境，加大“扫黄打非”</w:t>
      </w:r>
      <w:r>
        <w:rPr>
          <w:rFonts w:hint="eastAsia" w:ascii="仿宋_GB2312" w:hAnsi="宋体" w:eastAsia="仿宋_GB2312" w:cs="仿宋_GB2312"/>
          <w:color w:val="000000"/>
          <w:kern w:val="0"/>
          <w:sz w:val="32"/>
          <w:szCs w:val="32"/>
        </w:rPr>
        <w:t>工作力度，坚决打击和查处各类侵权盗版行为，强化以青少年为题材和主要对象的出版物、影视节目的市场监管。优化校园周边环境，严格落实禁止在中小学校园周边开办网吧、娱乐场所等相关规定。加强联合执法，进一步规范上网服务营业场所服务管理，依法查处违规接纳未成年人的行为，依法取缔无照场所。优化校园内部环境，加强对青少年的教育，有效遏制校园欺凌、校园暴力等案（事）件发生。优化网络空间环境，定期开展专项整治行动，持续整治网络涉毒、淫秽色情及低俗信息。</w:t>
      </w:r>
      <w:r>
        <w:rPr>
          <w:rFonts w:hint="eastAsia" w:ascii="仿宋_GB2312" w:hAnsi="仿宋_GB2312" w:eastAsia="仿宋_GB2312" w:cs="仿宋_GB2312"/>
          <w:b/>
          <w:sz w:val="32"/>
          <w:szCs w:val="32"/>
        </w:rPr>
        <w:t>（</w:t>
      </w:r>
      <w:r>
        <w:rPr>
          <w:rFonts w:hint="eastAsia" w:ascii="仿宋_GB2312" w:hAnsi="仿宋_GB2312" w:eastAsia="仿宋_GB2312" w:cs="仿宋_GB2312"/>
          <w:b/>
          <w:bCs/>
          <w:color w:val="000000"/>
          <w:sz w:val="32"/>
          <w:szCs w:val="32"/>
        </w:rPr>
        <w:t>牵头单位：县公安局、县文化和广电旅游体育局、县市场监管局；参加单位：县教育局、团县委、县妇联</w:t>
      </w:r>
      <w:r>
        <w:rPr>
          <w:rFonts w:hint="eastAsia" w:ascii="仿宋_GB2312" w:hAnsi="仿宋_GB2312" w:eastAsia="仿宋_GB2312" w:cs="仿宋_GB2312"/>
          <w:b/>
          <w:sz w:val="32"/>
          <w:szCs w:val="32"/>
        </w:rPr>
        <w:t>）</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3.加强重点青少年群体管理帮扶。</w:t>
      </w:r>
      <w:r>
        <w:rPr>
          <w:rFonts w:hint="eastAsia" w:ascii="仿宋_GB2312" w:hAnsi="仿宋_GB2312" w:eastAsia="仿宋_GB2312" w:cs="仿宋_GB2312"/>
          <w:sz w:val="32"/>
          <w:szCs w:val="32"/>
        </w:rPr>
        <w:t>落实中央、省市政府关于深化预防青少年犯罪工作的意见，深化重点青少年群体服务管理工作，建立覆盖完整、切实有效、职责清晰、协调联动的工作机制，探索建立重点青少年群体服务管理监测及评估体系。着力加强临界预防工作，明确预防青少年违法犯罪的重点领域、人群、场所。构建“服务链”，对重点青少年群体实施救助。规范政府购买服务方式，将社会专业力量作为协同服务管理的重要参与主体，创新重点青少年群体社会管理和公共服务的供给方式。</w:t>
      </w:r>
      <w:r>
        <w:rPr>
          <w:rFonts w:hint="eastAsia" w:ascii="仿宋_GB2312" w:hAnsi="仿宋_GB2312" w:eastAsia="仿宋_GB2312" w:cs="仿宋_GB2312"/>
          <w:b/>
          <w:sz w:val="32"/>
          <w:szCs w:val="32"/>
        </w:rPr>
        <w:t>（</w:t>
      </w:r>
      <w:r>
        <w:rPr>
          <w:rFonts w:hint="eastAsia" w:ascii="仿宋_GB2312" w:hAnsi="仿宋_GB2312" w:eastAsia="仿宋_GB2312" w:cs="仿宋_GB2312"/>
          <w:b/>
          <w:bCs/>
          <w:color w:val="000000"/>
          <w:sz w:val="32"/>
          <w:szCs w:val="32"/>
        </w:rPr>
        <w:t>牵头单位：县委政法委、县民政局；参加单位：县教育局、县公安局、县检察院、团县委</w:t>
      </w:r>
      <w:r>
        <w:rPr>
          <w:rFonts w:hint="eastAsia" w:ascii="仿宋_GB2312" w:hAnsi="仿宋_GB2312" w:eastAsia="仿宋_GB2312" w:cs="仿宋_GB2312"/>
          <w:b/>
          <w:sz w:val="32"/>
          <w:szCs w:val="32"/>
        </w:rPr>
        <w:t>）</w:t>
      </w:r>
    </w:p>
    <w:p>
      <w:pPr>
        <w:widowControl/>
        <w:spacing w:line="60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4.完善未成年人司法保护制度。</w:t>
      </w:r>
      <w:r>
        <w:rPr>
          <w:rFonts w:hint="eastAsia" w:ascii="仿宋_GB2312" w:hAnsi="宋体" w:eastAsia="仿宋_GB2312" w:cs="仿宋_GB2312"/>
          <w:color w:val="000000"/>
          <w:kern w:val="0"/>
          <w:sz w:val="32"/>
          <w:szCs w:val="32"/>
        </w:rPr>
        <w:t xml:space="preserve">深化推进未成年人司法改革，推动全县公安、检察、法院、司法行政机关加强专门机制建设，明确专岗、专人办理未成年人违法犯罪案件。严格审慎把好审查逮捕、起诉关，避免羁押、处罚失当导致交叉感染和标签效应。落实未成年人收容教养制度，在侦查、起诉、审判、刑事执行涉及未成年人案件中，落实分押分管、强制辩护、附条件不起诉、分类矫治等特殊保护制度。全力构建未成年检察工作社会支持体系，加大各类经费投入，推进青少年司法社会服务阵地建设。推动建立“一站式”办案与青少年事务社工参与涉案未成年人观护帮教机制，提升帮教、保护与救助专业化水平。加强未成年被害人人文关怀，落实身体康复、心理疏导、法律援助和司法救助等帮扶措施。 </w:t>
      </w:r>
      <w:r>
        <w:rPr>
          <w:rFonts w:hint="eastAsia" w:ascii="仿宋_GB2312" w:hAnsi="仿宋_GB2312" w:eastAsia="仿宋_GB2312" w:cs="仿宋_GB2312"/>
          <w:b/>
          <w:bCs/>
          <w:color w:val="000000"/>
          <w:sz w:val="32"/>
          <w:szCs w:val="32"/>
        </w:rPr>
        <w:t>（牵头单位：县委政法委；参加单位：县公安局、县检察院、县法院、县司法局、县民政局、团县委</w:t>
      </w:r>
      <w:r>
        <w:rPr>
          <w:rFonts w:hint="eastAsia" w:ascii="仿宋_GB2312" w:hAnsi="仿宋_GB2312" w:eastAsia="仿宋_GB2312" w:cs="仿宋_GB2312"/>
          <w:b/>
          <w:sz w:val="32"/>
          <w:szCs w:val="32"/>
        </w:rPr>
        <w:t>）</w:t>
      </w:r>
    </w:p>
    <w:p>
      <w:pPr>
        <w:spacing w:line="600" w:lineRule="exact"/>
        <w:ind w:firstLine="834" w:firstLineChars="297"/>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四、重点工程</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（一）青年思想政治引领工程</w:t>
      </w:r>
    </w:p>
    <w:p>
      <w:pPr>
        <w:spacing w:line="600" w:lineRule="exact"/>
        <w:ind w:firstLine="640" w:firstLineChars="200"/>
        <w:jc w:val="left"/>
        <w:rPr>
          <w:rFonts w:ascii="仿宋_GB2312" w:hAnsi="仿宋_GB2312" w:eastAsia="仿宋_GB2312" w:cs="仿宋_GB2312"/>
          <w:b/>
          <w:sz w:val="32"/>
          <w:szCs w:val="32"/>
        </w:rPr>
      </w:pPr>
      <w:r>
        <w:rPr>
          <w:rFonts w:hint="eastAsia" w:ascii="仿宋_GB2312" w:hAnsi="仿宋_GB2312" w:eastAsia="仿宋_GB2312" w:cs="仿宋_GB2312"/>
          <w:sz w:val="32"/>
          <w:szCs w:val="32"/>
        </w:rPr>
        <w:t>聚焦理想信念教育，以青年群体为主要培养对象，强化马克思主义理论学习，特别是习近平新时代中国特色社会主义思想的学习。优化培养方案，强化社会实践，设计兼具党性教育、理论学习、实践锻炼等方面内容的课程体系，采取理论研学、举办主题沙龙、开展网上“青年大学习”等方式，分层分类进行阶段性的集中培训教育，着力培养一批对党忠诚、信仰坚定、素质优良、作风过硬的中国特色社会主义事业合格建设者和可靠接班人。</w:t>
      </w:r>
      <w:r>
        <w:rPr>
          <w:rFonts w:hint="eastAsia" w:ascii="仿宋_GB2312" w:hAnsi="仿宋_GB2312" w:eastAsia="仿宋_GB2312" w:cs="仿宋_GB2312"/>
          <w:b/>
          <w:sz w:val="32"/>
          <w:szCs w:val="32"/>
        </w:rPr>
        <w:t>（</w:t>
      </w:r>
      <w:r>
        <w:rPr>
          <w:rFonts w:hint="eastAsia" w:ascii="仿宋_GB2312" w:hAnsi="仿宋_GB2312" w:eastAsia="仿宋_GB2312" w:cs="仿宋_GB2312"/>
          <w:b/>
          <w:bCs/>
          <w:color w:val="000000"/>
          <w:sz w:val="32"/>
          <w:szCs w:val="32"/>
        </w:rPr>
        <w:t>牵头单位：团县委；参加单位：县委宣传部、县教育局</w:t>
      </w:r>
      <w:r>
        <w:rPr>
          <w:rFonts w:hint="eastAsia" w:ascii="仿宋_GB2312" w:hAnsi="仿宋_GB2312" w:eastAsia="仿宋_GB2312" w:cs="仿宋_GB2312"/>
          <w:b/>
          <w:sz w:val="32"/>
          <w:szCs w:val="32"/>
        </w:rPr>
        <w:t>）</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（二）青年成长发展赋能工程</w:t>
      </w:r>
    </w:p>
    <w:p>
      <w:pPr>
        <w:spacing w:line="600" w:lineRule="exact"/>
        <w:ind w:firstLine="640" w:firstLineChars="200"/>
        <w:jc w:val="left"/>
        <w:rPr>
          <w:rFonts w:ascii="仿宋_GB2312" w:hAnsi="仿宋_GB2312" w:eastAsia="仿宋_GB2312" w:cs="仿宋_GB2312"/>
          <w:b/>
          <w:sz w:val="32"/>
          <w:szCs w:val="32"/>
        </w:rPr>
      </w:pPr>
      <w:r>
        <w:rPr>
          <w:rFonts w:hint="eastAsia" w:ascii="仿宋_GB2312" w:hAnsi="仿宋_GB2312" w:eastAsia="仿宋_GB2312" w:cs="仿宋_GB2312"/>
          <w:sz w:val="32"/>
          <w:szCs w:val="32"/>
        </w:rPr>
        <w:t>全面贯彻党的教育方针，深化教育改革创新，落实立德树人根本任务，健全学校家庭社会协同育人机制，促进学生德智体美劳全面发展。建立完善义务教育城乡共同体，改善义务教育薄弱学校基本办学条件，多形式、多途径推进义务教育优质均衡发展。强化社会实践教育、现代职业教育，加强校地合作、校企合作，促进产教融合发展，拓宽青年自我提升路径，倡导青年形成终身学习的理念，积极创造社会教育的良好氛围。到2025年，仙居教育发展水平跻身全市第二方阵</w:t>
      </w:r>
      <w:r>
        <w:rPr>
          <w:rFonts w:hint="eastAsia" w:ascii="仿宋_GB2312" w:hAnsi="仿宋_GB2312" w:eastAsia="仿宋_GB2312" w:cs="仿宋_GB2312"/>
          <w:sz w:val="20"/>
          <w:szCs w:val="20"/>
        </w:rPr>
        <w:footnoteReference w:id="5"/>
      </w:r>
      <w:r>
        <w:rPr>
          <w:rFonts w:hint="eastAsia" w:ascii="仿宋_GB2312" w:hAnsi="仿宋_GB2312" w:eastAsia="仿宋_GB2312" w:cs="仿宋_GB2312"/>
          <w:sz w:val="32"/>
          <w:szCs w:val="32"/>
        </w:rPr>
        <w:t>。义务教育得到优质均衡发展，标准化学校建设比例达100%，义务教育入学率达98%以上，高等教育毛入学率达64%以上，中职毕业生升入普通高校比例达到60%以上</w:t>
      </w:r>
      <w:r>
        <w:rPr>
          <w:rFonts w:hint="eastAsia" w:ascii="仿宋_GB2312" w:hAnsi="仿宋_GB2312" w:eastAsia="仿宋_GB2312" w:cs="仿宋_GB2312"/>
          <w:sz w:val="20"/>
          <w:szCs w:val="20"/>
        </w:rPr>
        <w:footnoteReference w:id="6"/>
      </w:r>
      <w:r>
        <w:rPr>
          <w:rFonts w:hint="eastAsia" w:ascii="仿宋_GB2312" w:hAnsi="仿宋_GB2312" w:eastAsia="仿宋_GB2312" w:cs="仿宋_GB2312"/>
          <w:sz w:val="32"/>
          <w:szCs w:val="32"/>
        </w:rPr>
        <w:t>，仙居特色的职业教育体系初步完善，学校教育质量得到时稳步提高，全域教育基本现代化得以实现。</w:t>
      </w:r>
      <w:r>
        <w:rPr>
          <w:rFonts w:hint="eastAsia" w:ascii="仿宋_GB2312" w:hAnsi="仿宋_GB2312" w:eastAsia="仿宋_GB2312" w:cs="仿宋_GB2312"/>
          <w:b/>
          <w:sz w:val="32"/>
          <w:szCs w:val="32"/>
        </w:rPr>
        <w:t>（</w:t>
      </w:r>
      <w:r>
        <w:rPr>
          <w:rFonts w:hint="eastAsia" w:ascii="仿宋_GB2312" w:hAnsi="仿宋_GB2312" w:eastAsia="仿宋_GB2312" w:cs="仿宋_GB2312"/>
          <w:b/>
          <w:bCs/>
          <w:color w:val="000000"/>
          <w:sz w:val="32"/>
          <w:szCs w:val="32"/>
        </w:rPr>
        <w:t>牵头单位：县教育局；参加单位：团县委</w:t>
      </w:r>
      <w:r>
        <w:rPr>
          <w:rFonts w:hint="eastAsia" w:ascii="仿宋_GB2312" w:hAnsi="仿宋_GB2312" w:eastAsia="仿宋_GB2312" w:cs="仿宋_GB2312"/>
          <w:b/>
          <w:sz w:val="32"/>
          <w:szCs w:val="32"/>
        </w:rPr>
        <w:t>）</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（三）青年体质健康提升工程</w:t>
      </w:r>
    </w:p>
    <w:p>
      <w:pPr>
        <w:spacing w:line="600" w:lineRule="exact"/>
        <w:ind w:firstLine="640" w:firstLineChars="200"/>
        <w:jc w:val="left"/>
        <w:rPr>
          <w:rFonts w:ascii="仿宋_GB2312" w:hAnsi="仿宋_GB2312" w:eastAsia="仿宋_GB2312" w:cs="仿宋_GB2312"/>
          <w:b/>
          <w:sz w:val="32"/>
          <w:szCs w:val="32"/>
        </w:rPr>
      </w:pPr>
      <w:r>
        <w:rPr>
          <w:rFonts w:hint="eastAsia" w:ascii="仿宋_GB2312" w:hAnsi="仿宋_GB2312" w:eastAsia="仿宋_GB2312" w:cs="仿宋_GB2312"/>
          <w:sz w:val="32"/>
          <w:szCs w:val="32"/>
        </w:rPr>
        <w:t>完善提升青年健康水平的基本条件，引领广大青年积极参与体育锻炼、心理教育、疾病防范、应急演练等健康安全活动。健全体育和健康教育培训体系，鼓励青年经常性参加体育运动项目和健身活动。深化学校体育改革，推动青少年文化学习和体育锻炼协调发展，大力开展阳光体育系列活动，确保学生平均每天健康活动时间不少于1小时。到2025年，实现青年体质达标率不低于95%。着力推动青少年心理健康教育，提高青年心理咨询服务的可及性。大力开展健康生活、疾病预防、应急防护等宣传活动，提高青年疾病防范和应急能力。</w:t>
      </w:r>
      <w:r>
        <w:rPr>
          <w:rFonts w:hint="eastAsia" w:ascii="仿宋_GB2312" w:hAnsi="仿宋_GB2312" w:eastAsia="仿宋_GB2312" w:cs="仿宋_GB2312"/>
          <w:b/>
          <w:sz w:val="32"/>
          <w:szCs w:val="32"/>
        </w:rPr>
        <w:t>（</w:t>
      </w:r>
      <w:r>
        <w:rPr>
          <w:rFonts w:hint="eastAsia" w:ascii="仿宋_GB2312" w:hAnsi="仿宋_GB2312" w:eastAsia="仿宋_GB2312" w:cs="仿宋_GB2312"/>
          <w:b/>
          <w:bCs/>
          <w:color w:val="000000"/>
          <w:sz w:val="32"/>
          <w:szCs w:val="32"/>
        </w:rPr>
        <w:t>牵头单位：县卫生健康局、县教育局；参加单位：团县委</w:t>
      </w:r>
      <w:r>
        <w:rPr>
          <w:rFonts w:hint="eastAsia" w:ascii="仿宋_GB2312" w:hAnsi="仿宋_GB2312" w:eastAsia="仿宋_GB2312" w:cs="仿宋_GB2312"/>
          <w:b/>
          <w:sz w:val="32"/>
          <w:szCs w:val="32"/>
        </w:rPr>
        <w:t>）</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（四）青年人才引育留用工程</w:t>
      </w:r>
    </w:p>
    <w:p>
      <w:pPr>
        <w:spacing w:line="600" w:lineRule="exact"/>
        <w:ind w:firstLine="640" w:firstLineChars="200"/>
        <w:jc w:val="left"/>
        <w:rPr>
          <w:rFonts w:ascii="仿宋_GB2312" w:hAnsi="仿宋_GB2312" w:eastAsia="仿宋_GB2312" w:cs="仿宋_GB2312"/>
          <w:b/>
          <w:sz w:val="32"/>
          <w:szCs w:val="32"/>
        </w:rPr>
      </w:pPr>
      <w:r>
        <w:rPr>
          <w:rFonts w:hint="eastAsia" w:ascii="仿宋_GB2312" w:hAnsi="仿宋_GB2312" w:eastAsia="仿宋_GB2312" w:cs="仿宋_GB2312"/>
          <w:sz w:val="32"/>
          <w:szCs w:val="32"/>
        </w:rPr>
        <w:t>依托仙居县大学生联合会等载体，构建覆盖全国的名高校毕业生引才网络，打造人才高地。持续完善仙居籍在读硕博士人才库建设，加强对仙居籍青年人才的跟踪、联络和服务，提高仙居籍青年人才回流率。深度开展“双招双引”工作，加快探索新方法、新途径，为迎接高铁时代做好青年人才储备。对接仙居产业发展急需的人才需求，重点加大青年高层次人才引进和扶持力度。激发用人单位引才主动性和积极性改革。建立和完善各类青年人才制度，优化发展环境，为人才成长进步搭建桥梁舞台，不断提升人才的成就感、归属感、获得感。</w:t>
      </w:r>
      <w:r>
        <w:rPr>
          <w:rFonts w:hint="eastAsia" w:ascii="仿宋_GB2312" w:hAnsi="仿宋_GB2312" w:eastAsia="仿宋_GB2312" w:cs="仿宋_GB2312"/>
          <w:b/>
          <w:sz w:val="32"/>
          <w:szCs w:val="32"/>
        </w:rPr>
        <w:t>（</w:t>
      </w:r>
      <w:r>
        <w:rPr>
          <w:rFonts w:hint="eastAsia" w:ascii="仿宋_GB2312" w:hAnsi="仿宋_GB2312" w:eastAsia="仿宋_GB2312" w:cs="仿宋_GB2312"/>
          <w:b/>
          <w:bCs/>
          <w:color w:val="000000"/>
          <w:sz w:val="32"/>
          <w:szCs w:val="32"/>
        </w:rPr>
        <w:t>牵头单位：县委人才办、县人力社保局、团县委；参加单位：县委宣传部、县教育局</w:t>
      </w:r>
      <w:r>
        <w:rPr>
          <w:rFonts w:hint="eastAsia" w:ascii="仿宋_GB2312" w:hAnsi="仿宋_GB2312" w:eastAsia="仿宋_GB2312" w:cs="仿宋_GB2312"/>
          <w:b/>
          <w:sz w:val="32"/>
          <w:szCs w:val="32"/>
        </w:rPr>
        <w:t>）</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（五）青年助力乡村振兴工程</w:t>
      </w:r>
    </w:p>
    <w:p>
      <w:pPr>
        <w:spacing w:line="600" w:lineRule="exact"/>
        <w:ind w:firstLine="640" w:firstLineChars="200"/>
        <w:jc w:val="left"/>
        <w:rPr>
          <w:rFonts w:ascii="仿宋_GB2312" w:hAnsi="仿宋_GB2312" w:eastAsia="仿宋_GB2312" w:cs="仿宋_GB2312"/>
          <w:b/>
          <w:sz w:val="32"/>
          <w:szCs w:val="32"/>
        </w:rPr>
      </w:pPr>
      <w:r>
        <w:rPr>
          <w:rFonts w:hint="eastAsia" w:ascii="仿宋_GB2312" w:hAnsi="仿宋_GB2312" w:eastAsia="仿宋_GB2312" w:cs="仿宋_GB2312"/>
          <w:sz w:val="32"/>
          <w:szCs w:val="32"/>
        </w:rPr>
        <w:t>紧扣“产业、人才、文化、生态、组织”五大振兴目标，持续开展“青年乡村振兴行动计划”，全面提升青年助力乡村振兴的能力和水平。重点在农业青年产业人才、农村青年治理人才、农业农村服务人才等队伍建设和农村经济新业态发展上进行突破，增强农村创新创业活力；围绕国家全域旅游示范区创建工作，坚持以志愿服务、环境美化、宣传推广为主线，引导青年全面助力仙居旅游业转型升级发展。依托全域旅游共建共享的大格局，组织各类青少年群体开展主题实践活动，推广仙居特色旅游项目，提升知名度。</w:t>
      </w:r>
      <w:r>
        <w:rPr>
          <w:rFonts w:hint="eastAsia" w:ascii="仿宋_GB2312" w:hAnsi="仿宋_GB2312" w:eastAsia="仿宋_GB2312" w:cs="仿宋_GB2312"/>
          <w:b/>
          <w:sz w:val="32"/>
          <w:szCs w:val="32"/>
        </w:rPr>
        <w:t>（</w:t>
      </w:r>
      <w:r>
        <w:rPr>
          <w:rFonts w:hint="eastAsia" w:ascii="仿宋_GB2312" w:hAnsi="仿宋_GB2312" w:eastAsia="仿宋_GB2312" w:cs="仿宋_GB2312"/>
          <w:b/>
          <w:bCs/>
          <w:color w:val="000000"/>
          <w:sz w:val="32"/>
          <w:szCs w:val="32"/>
        </w:rPr>
        <w:t>牵头单位：县农业农村局、团县委；参加单位：县教育局、县人力社保局、县文化和广电旅游体育局</w:t>
      </w:r>
      <w:r>
        <w:rPr>
          <w:rFonts w:hint="eastAsia" w:ascii="仿宋_GB2312" w:hAnsi="仿宋_GB2312" w:eastAsia="仿宋_GB2312" w:cs="仿宋_GB2312"/>
          <w:b/>
          <w:sz w:val="32"/>
          <w:szCs w:val="32"/>
        </w:rPr>
        <w:t>）</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（六）青年志愿提质升级工程</w:t>
      </w:r>
    </w:p>
    <w:p>
      <w:pPr>
        <w:spacing w:line="600" w:lineRule="exact"/>
        <w:ind w:firstLine="640" w:firstLineChars="200"/>
        <w:jc w:val="left"/>
        <w:rPr>
          <w:rFonts w:ascii="仿宋_GB2312" w:hAnsi="仿宋_GB2312" w:eastAsia="仿宋_GB2312" w:cs="仿宋_GB2312"/>
          <w:b/>
          <w:sz w:val="32"/>
          <w:szCs w:val="32"/>
        </w:rPr>
      </w:pPr>
      <w:r>
        <w:rPr>
          <w:rFonts w:hint="eastAsia" w:ascii="仿宋_GB2312" w:hAnsi="仿宋_GB2312" w:eastAsia="仿宋_GB2312" w:cs="仿宋_GB2312"/>
          <w:sz w:val="32"/>
          <w:szCs w:val="32"/>
        </w:rPr>
        <w:t>持续打造“活动公益化、公益项目化、项目品牌化、品牌本土化”的青年志愿服务体系。聚焦新时代青年志愿服务发展新定位，重点在推出更贴近县委县政府需要的青年志愿服务项目等方面进行突破，以“四三三”工作法为载体，不断推动青年志愿服务改革创新，努力在夯实培育基础、激活内生动力、打造品牌特色上下功夫，实现服务品质提档升级。在全社会大力弘扬奉献、友爱、互助、进步的志愿精神，使青年参与志愿服务成为自觉和追求。到2025年，全县实名注册的青年志愿者总数突破2万人，培育优质青年志愿服务组织20支，打造青年志愿服务品牌项目30个。</w:t>
      </w:r>
      <w:r>
        <w:rPr>
          <w:rFonts w:hint="eastAsia" w:ascii="仿宋_GB2312" w:hAnsi="仿宋_GB2312" w:eastAsia="仿宋_GB2312" w:cs="仿宋_GB2312"/>
          <w:b/>
          <w:sz w:val="32"/>
          <w:szCs w:val="32"/>
        </w:rPr>
        <w:t>（</w:t>
      </w:r>
      <w:r>
        <w:rPr>
          <w:rFonts w:hint="eastAsia" w:ascii="仿宋_GB2312" w:hAnsi="仿宋_GB2312" w:eastAsia="仿宋_GB2312" w:cs="仿宋_GB2312"/>
          <w:b/>
          <w:bCs/>
          <w:color w:val="000000"/>
          <w:sz w:val="32"/>
          <w:szCs w:val="32"/>
        </w:rPr>
        <w:t>牵头单位：团县委、县民政局；参加单位：县文明办</w:t>
      </w:r>
      <w:r>
        <w:rPr>
          <w:rFonts w:hint="eastAsia" w:ascii="仿宋_GB2312" w:hAnsi="仿宋_GB2312" w:eastAsia="仿宋_GB2312" w:cs="仿宋_GB2312"/>
          <w:b/>
          <w:sz w:val="32"/>
          <w:szCs w:val="32"/>
        </w:rPr>
        <w:t>）</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（七）青年创业创新筑梦工程</w:t>
      </w:r>
    </w:p>
    <w:p>
      <w:pPr>
        <w:spacing w:line="600" w:lineRule="exact"/>
        <w:ind w:firstLine="640" w:firstLineChars="200"/>
        <w:jc w:val="left"/>
        <w:rPr>
          <w:rFonts w:ascii="仿宋_GB2312" w:hAnsi="仿宋_GB2312" w:eastAsia="仿宋_GB2312" w:cs="仿宋_GB2312"/>
          <w:b/>
          <w:sz w:val="32"/>
          <w:szCs w:val="32"/>
        </w:rPr>
      </w:pPr>
      <w:r>
        <w:rPr>
          <w:rFonts w:hint="eastAsia" w:ascii="仿宋_GB2312" w:hAnsi="仿宋_GB2312" w:eastAsia="仿宋_GB2312" w:cs="仿宋_GB2312"/>
          <w:sz w:val="32"/>
          <w:szCs w:val="32"/>
        </w:rPr>
        <w:t>重视和支持青年创新创业，以仙居县青年人才（大学生）创业孵化园为平台，为青年提供更有利的条件，搭建更广阔的舞台。不断健全创新创业服务体系，构建创新创业服务链，优化创业办事流程，为青年提供一站式闭环服务。举办各类创业大赛、创业活动，焕发青年创新创业热情。加强对外合作交流，引进优势资源，吸引更多在外优秀青年人才落户仙居。到2025年，做到青创俱乐部乡镇（街道）全覆盖，建成青年就业创业见习基地 30个，选树青年创业典型20名，开展创业就业培训50场次，帮扶2000名青年创业。</w:t>
      </w:r>
      <w:r>
        <w:rPr>
          <w:rFonts w:hint="eastAsia" w:ascii="仿宋_GB2312" w:hAnsi="仿宋_GB2312" w:eastAsia="仿宋_GB2312" w:cs="仿宋_GB2312"/>
          <w:b/>
          <w:sz w:val="32"/>
          <w:szCs w:val="32"/>
        </w:rPr>
        <w:t>（</w:t>
      </w:r>
      <w:r>
        <w:rPr>
          <w:rFonts w:hint="eastAsia" w:ascii="仿宋_GB2312" w:hAnsi="仿宋_GB2312" w:eastAsia="仿宋_GB2312" w:cs="仿宋_GB2312"/>
          <w:b/>
          <w:bCs/>
          <w:color w:val="000000"/>
          <w:sz w:val="32"/>
          <w:szCs w:val="32"/>
        </w:rPr>
        <w:t>牵头单位：团县委；参加单位：县人力社保局</w:t>
      </w:r>
      <w:r>
        <w:rPr>
          <w:rFonts w:hint="eastAsia" w:ascii="仿宋_GB2312" w:hAnsi="仿宋_GB2312" w:eastAsia="仿宋_GB2312" w:cs="仿宋_GB2312"/>
          <w:b/>
          <w:sz w:val="32"/>
          <w:szCs w:val="32"/>
        </w:rPr>
        <w:t>）</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（八）青年合法权益护航工程</w:t>
      </w:r>
    </w:p>
    <w:p>
      <w:pPr>
        <w:spacing w:line="600" w:lineRule="exact"/>
        <w:ind w:firstLine="640" w:firstLineChars="200"/>
        <w:jc w:val="left"/>
        <w:rPr>
          <w:rFonts w:ascii="仿宋_GB2312" w:hAnsi="仿宋_GB2312" w:eastAsia="仿宋_GB2312" w:cs="仿宋_GB2312"/>
          <w:b/>
          <w:sz w:val="32"/>
          <w:szCs w:val="32"/>
        </w:rPr>
      </w:pPr>
      <w:r>
        <w:rPr>
          <w:rFonts w:hint="eastAsia" w:ascii="仿宋_GB2312" w:hAnsi="仿宋_GB2312" w:eastAsia="仿宋_GB2312" w:cs="仿宋_GB2312"/>
          <w:sz w:val="32"/>
          <w:szCs w:val="32"/>
        </w:rPr>
        <w:t>健全青年权益保护机制，</w:t>
      </w:r>
      <w:r>
        <w:rPr>
          <w:rFonts w:ascii="仿宋_GB2312" w:hAnsi="宋体" w:eastAsia="仿宋_GB2312" w:cs="仿宋_GB2312"/>
          <w:color w:val="000000"/>
          <w:kern w:val="0"/>
          <w:sz w:val="32"/>
          <w:szCs w:val="32"/>
        </w:rPr>
        <w:t>实施青少年维权“一件事”改革，一次性综合受理权益维护诉求，</w:t>
      </w:r>
      <w:r>
        <w:rPr>
          <w:rFonts w:hint="eastAsia" w:ascii="仿宋_GB2312" w:hAnsi="宋体" w:eastAsia="仿宋_GB2312" w:cs="仿宋_GB2312"/>
          <w:color w:val="000000"/>
          <w:kern w:val="0"/>
          <w:sz w:val="32"/>
          <w:szCs w:val="32"/>
        </w:rPr>
        <w:t>为困境青少年提供“一站式”服务。</w:t>
      </w:r>
      <w:r>
        <w:rPr>
          <w:rFonts w:hint="eastAsia" w:ascii="仿宋_GB2312" w:hAnsi="仿宋_GB2312" w:eastAsia="仿宋_GB2312" w:cs="仿宋_GB2312"/>
          <w:sz w:val="32"/>
          <w:szCs w:val="32"/>
        </w:rPr>
        <w:t>依托“亲青帮”平台，进一步深化“法制化、专业化、社会化”维权工作总体思路，加强建设各级青年综合服务中心，提供心理咨询、权益维护、法律援助等帮扶服务。完善青年社会保障，健全完善涉及青年的社会保障体系，逐步提高社会保障能力，重点做好青年群体和困难青年群体结对帮扶工作，到2025年，五类重点青少年群体帮扶率达到100%。通过政府购买服务鼓励社会组织、社会爱心人士参与，建立“青年事务社工+志愿者+爱心人士”的关爱帮扶体系，有效维护青年合法权益。</w:t>
      </w:r>
      <w:r>
        <w:rPr>
          <w:rFonts w:hint="eastAsia" w:ascii="仿宋_GB2312" w:hAnsi="仿宋_GB2312" w:eastAsia="仿宋_GB2312" w:cs="仿宋_GB2312"/>
          <w:b/>
          <w:sz w:val="32"/>
          <w:szCs w:val="32"/>
        </w:rPr>
        <w:t>（</w:t>
      </w:r>
      <w:r>
        <w:rPr>
          <w:rFonts w:hint="eastAsia" w:ascii="仿宋_GB2312" w:hAnsi="仿宋_GB2312" w:eastAsia="仿宋_GB2312" w:cs="仿宋_GB2312"/>
          <w:b/>
          <w:bCs/>
          <w:color w:val="000000"/>
          <w:sz w:val="32"/>
          <w:szCs w:val="32"/>
        </w:rPr>
        <w:t>牵头单位：团县委、县司法局、县公安局、县检察院；参加单位：县民政局、县教育局、县人力社保局</w:t>
      </w:r>
      <w:r>
        <w:rPr>
          <w:rFonts w:hint="eastAsia" w:ascii="仿宋_GB2312" w:hAnsi="仿宋_GB2312" w:eastAsia="仿宋_GB2312" w:cs="仿宋_GB2312"/>
          <w:b/>
          <w:sz w:val="32"/>
          <w:szCs w:val="32"/>
        </w:rPr>
        <w:t>）</w:t>
      </w:r>
    </w:p>
    <w:p>
      <w:pPr>
        <w:spacing w:line="600" w:lineRule="exact"/>
        <w:ind w:firstLine="642"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（九）基层组织建设堡垒工程</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树立大抓基层的鲜明导向，推动改革措施落到实处，使基层真正强大起来。加强基层团组织建设，坚持开展“改革攻坚在基层”专项行动，全面实施基层团组织书记述职评议、团支部对标定级的制度，推动形成基层团组织规范运行的常态化机制。到2025年，推动80%以上团支部达到五好标准。加强基层团干队伍建设，深化“清廉青春”工程，强化日常管理和监督，实行团干部约谈机制，打造忠诚干净担当的高素质青年铁军。加强基层团员队伍建设，严格规范团员发展，突出政治性、先进性，注重总量控制、编号管理、常态教育，履行好培养社会主义建设者和接班人这一根本任务。</w:t>
      </w:r>
      <w:r>
        <w:rPr>
          <w:rFonts w:hint="eastAsia" w:ascii="仿宋_GB2312" w:hAnsi="仿宋_GB2312" w:eastAsia="仿宋_GB2312" w:cs="仿宋_GB2312"/>
          <w:b/>
          <w:sz w:val="32"/>
          <w:szCs w:val="32"/>
        </w:rPr>
        <w:t>（</w:t>
      </w:r>
      <w:r>
        <w:rPr>
          <w:rFonts w:hint="eastAsia" w:ascii="仿宋_GB2312" w:hAnsi="仿宋_GB2312" w:eastAsia="仿宋_GB2312" w:cs="仿宋_GB2312"/>
          <w:b/>
          <w:bCs/>
          <w:color w:val="000000"/>
          <w:sz w:val="32"/>
          <w:szCs w:val="32"/>
        </w:rPr>
        <w:t>牵头单位：团县委；参加单位：县委组织部</w:t>
      </w:r>
      <w:r>
        <w:rPr>
          <w:rFonts w:hint="eastAsia" w:ascii="仿宋_GB2312" w:hAnsi="仿宋_GB2312" w:eastAsia="仿宋_GB2312" w:cs="仿宋_GB2312"/>
          <w:b/>
          <w:sz w:val="32"/>
          <w:szCs w:val="32"/>
        </w:rPr>
        <w:t>）</w:t>
      </w:r>
    </w:p>
    <w:p>
      <w:pPr>
        <w:spacing w:line="600" w:lineRule="exact"/>
        <w:ind w:firstLine="699" w:firstLineChars="249"/>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五、组织实施</w:t>
      </w:r>
    </w:p>
    <w:p>
      <w:pPr>
        <w:spacing w:line="600" w:lineRule="exact"/>
        <w:ind w:firstLine="472" w:firstLineChars="147"/>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（一）加强实施组织领导</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充分发挥政府主导、青年主体、企业主力、社会主动的积极作用，推动建立覆盖全县的青年工作格局，推动本规划落实。完善青年工作联席会议制度，协调推进相关工作，及时研判重要事项，确保工作实效。县委每年至少研究一次青年工作，每年至少召开两次青年工作联席会议。</w:t>
      </w:r>
    </w:p>
    <w:p>
      <w:pPr>
        <w:spacing w:line="600" w:lineRule="exact"/>
        <w:ind w:firstLine="472" w:firstLineChars="147"/>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（二）健全工作推进机制</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建立健全党委领导、政府负责、共青团协调、各部门齐抓共管的青年发展工作机制，切实推进落实，强化工作督查，推动规划顺利实施。将青年工作纳入督查考核体系，协调解决重点难点问题，形成更加高效的工作推进机制。</w:t>
      </w:r>
    </w:p>
    <w:p>
      <w:pPr>
        <w:spacing w:line="600" w:lineRule="exact"/>
        <w:ind w:firstLine="472" w:firstLineChars="147"/>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（三）加大保障经费投入</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将本规划实施所需经费纳入财政预算。对青年政策、重点工程项目和重点活动安排，加大资金扶持力度。对各类从事青年服务的社会组织，探索政府购买服务的形式，予以支持。广泛动员社会力量，建立青年发展基金，形成政府引导、多方投入的资金筹措机制。</w:t>
      </w:r>
    </w:p>
    <w:p>
      <w:pPr>
        <w:spacing w:line="600" w:lineRule="exact"/>
        <w:ind w:firstLine="472" w:firstLineChars="147"/>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（四）优化规划实施环境</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加强对本规划的宣传解读，推动规划全面贯彻实施。充分利用多媒体手段，大力宣传党和国家关于青年工作的重大战略思想和方针政策，切实营造全社会关心、支持青年发展的良好氛围。</w:t>
      </w:r>
    </w:p>
    <w:p>
      <w:pPr>
        <w:spacing w:line="600" w:lineRule="exact"/>
        <w:ind w:firstLine="472" w:firstLineChars="147"/>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（五）建立评估监测体系</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建立完善青年发展的主要指标目标信息收集采集工作体系，做好数据监测统计服务，加强青年发展情况的科学统计评估。组织研究力量加强对青年发展规划实施成效的监督和评估。</w:t>
      </w:r>
    </w:p>
    <w:sectPr>
      <w:footerReference r:id="rId4" w:type="default"/>
      <w:footnotePr>
        <w:numFmt w:val="decimalEnclosedCircleChinese"/>
      </w:footnotePr>
      <w:pgSz w:w="11906" w:h="16838"/>
      <w:pgMar w:top="1418" w:right="1644" w:bottom="1418"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Droid Sans Fallbac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楷体_GB2312">
    <w:altName w:val="Droid Sans Fallback"/>
    <w:panose1 w:val="02010609030101010101"/>
    <w:charset w:val="86"/>
    <w:family w:val="modern"/>
    <w:pitch w:val="default"/>
    <w:sig w:usb0="00000000" w:usb1="00000000" w:usb2="00000000" w:usb3="00000000" w:csb0="00040000" w:csb1="00000000"/>
  </w:font>
  <w:font w:name="小标宋">
    <w:altName w:val="AR PL UKai CN"/>
    <w:panose1 w:val="03000509000000000000"/>
    <w:charset w:val="86"/>
    <w:family w:val="script"/>
    <w:pitch w:val="default"/>
    <w:sig w:usb0="00000000" w:usb1="00000000" w:usb2="00000010" w:usb3="00000000" w:csb0="00040000" w:csb1="00000000"/>
  </w:font>
  <w:font w:name="华文中宋">
    <w:altName w:val="Droid Sans Fallback"/>
    <w:panose1 w:val="02010600040101010101"/>
    <w:charset w:val="86"/>
    <w:family w:val="auto"/>
    <w:pitch w:val="default"/>
    <w:sig w:usb0="00000000" w:usb1="00000000" w:usb2="00000000" w:usb3="00000000" w:csb0="0004009F" w:csb1="DFD70000"/>
  </w:font>
  <w:font w:name="仿宋_GB2312">
    <w:altName w:val="Droid Sans Fallback"/>
    <w:panose1 w:val="02010609030101010101"/>
    <w:charset w:val="86"/>
    <w:family w:val="modern"/>
    <w:pitch w:val="default"/>
    <w:sig w:usb0="00000000" w:usb1="00000000" w:usb2="00000000" w:usb3="00000000" w:csb0="00040000" w:csb1="00000000"/>
  </w:font>
  <w:font w:name="方正小标宋简体">
    <w:altName w:val="AR PL UKai CN"/>
    <w:panose1 w:val="03000509000000000000"/>
    <w:charset w:val="86"/>
    <w:family w:val="script"/>
    <w:pitch w:val="default"/>
    <w:sig w:usb0="00000000" w:usb1="00000000" w:usb2="00000000" w:usb3="00000000" w:csb0="00040000" w:csb1="00000000"/>
  </w:font>
  <w:font w:name="方正粗黑宋简体">
    <w:altName w:val="Droid Sans Fallback"/>
    <w:panose1 w:val="02000000000000000000"/>
    <w:charset w:val="86"/>
    <w:family w:val="auto"/>
    <w:pitch w:val="default"/>
    <w:sig w:usb0="00000000" w:usb1="00000000" w:usb2="00000012" w:usb3="00000000" w:csb0="00040001" w:csb1="00000000"/>
  </w:font>
  <w:font w:name="仿宋">
    <w:altName w:val="Droid Sans Fallback"/>
    <w:panose1 w:val="02010609060101010101"/>
    <w:charset w:val="86"/>
    <w:family w:val="modern"/>
    <w:pitch w:val="default"/>
    <w:sig w:usb0="00000000" w:usb1="00000000" w:usb2="00000016" w:usb3="00000000" w:csb0="00040001" w:csb1="00000000"/>
  </w:font>
  <w:font w:name="Droid Sans Fallback">
    <w:panose1 w:val="020B0502000000000001"/>
    <w:charset w:val="86"/>
    <w:family w:val="auto"/>
    <w:pitch w:val="default"/>
    <w:sig w:usb0="910002FF" w:usb1="2BDFFCFB" w:usb2="00000036" w:usb3="00000000" w:csb0="203F01FF" w:csb1="D7FF0000"/>
  </w:font>
  <w:font w:name="DejaVu Sans">
    <w:panose1 w:val="020B0603030804020204"/>
    <w:charset w:val="00"/>
    <w:family w:val="auto"/>
    <w:pitch w:val="default"/>
    <w:sig w:usb0="E7006EFF" w:usb1="D200FDFF" w:usb2="0A246029" w:usb3="0400200C" w:csb0="600001FF" w:csb1="DFFF0000"/>
  </w:font>
  <w:font w:name="AR PL UKai CN">
    <w:panose1 w:val="02000503000000000000"/>
    <w:charset w:val="86"/>
    <w:family w:val="auto"/>
    <w:pitch w:val="default"/>
    <w:sig w:usb0="A00002FF" w:usb1="3ACFFDFF" w:usb2="00000036" w:usb3="00000000" w:csb0="2016009F" w:csb1="DFD70000"/>
  </w:font>
  <w:font w:name="Liberation Serif">
    <w:panose1 w:val="02020603050405020304"/>
    <w:charset w:val="00"/>
    <w:family w:val="auto"/>
    <w:pitch w:val="default"/>
    <w:sig w:usb0="A00002AF" w:usb1="500078FB" w:usb2="00000000" w:usb3="00000000" w:csb0="6000009F" w:csb1="DFD7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26556"/>
    </w:sdtPr>
    <w:sdtContent>
      <w:p>
        <w:pPr>
          <w:pStyle w:val="6"/>
          <w:jc w:val="right"/>
        </w:pPr>
        <w:r>
          <w:fldChar w:fldCharType="begin"/>
        </w:r>
        <w:r>
          <w:instrText xml:space="preserve"> PAGE   \* MERGEFORMAT </w:instrText>
        </w:r>
        <w:r>
          <w:fldChar w:fldCharType="separate"/>
        </w:r>
        <w:r>
          <w:rPr>
            <w:lang w:val="zh-CN"/>
          </w:rPr>
          <w:t>12</w:t>
        </w:r>
        <w:r>
          <w:rPr>
            <w:lang w:val="zh-CN"/>
          </w:rP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
    <w:p>
      <w:r>
        <w:separator/>
      </w:r>
    </w:p>
  </w:footnote>
  <w:footnote w:type="continuationSeparator" w:id="15">
    <w:p>
      <w:r>
        <w:continuationSeparator/>
      </w:r>
    </w:p>
  </w:footnote>
  <w:footnote w:id="0">
    <w:p>
      <w:pPr>
        <w:pStyle w:val="9"/>
      </w:pPr>
      <w:r>
        <w:rPr>
          <w:rStyle w:val="20"/>
        </w:rPr>
        <w:footnoteRef/>
      </w:r>
      <w:r>
        <w:rPr>
          <w:rFonts w:hint="eastAsia" w:ascii="仿宋" w:hAnsi="仿宋" w:eastAsia="仿宋" w:cs="仿宋_GB2312"/>
          <w:sz w:val="24"/>
          <w:szCs w:val="24"/>
        </w:rPr>
        <w:t>共青团仙居县第十五次代表大会上的报告</w:t>
      </w:r>
    </w:p>
  </w:footnote>
  <w:footnote w:id="1">
    <w:p>
      <w:pPr>
        <w:pStyle w:val="9"/>
      </w:pPr>
      <w:r>
        <w:rPr>
          <w:rStyle w:val="20"/>
        </w:rPr>
        <w:footnoteRef/>
      </w:r>
      <w:r>
        <w:rPr>
          <w:rFonts w:hint="eastAsia" w:ascii="仿宋" w:hAnsi="仿宋" w:eastAsia="仿宋" w:cs="仿宋_GB2312"/>
          <w:sz w:val="24"/>
          <w:szCs w:val="24"/>
        </w:rPr>
        <w:t>共青团仙居县十五届三次全委（扩大）会议上的报告</w:t>
      </w:r>
    </w:p>
  </w:footnote>
  <w:footnote w:id="2">
    <w:p>
      <w:pPr>
        <w:pStyle w:val="9"/>
      </w:pPr>
      <w:r>
        <w:rPr>
          <w:rStyle w:val="20"/>
        </w:rPr>
        <w:footnoteRef/>
      </w:r>
      <w:r>
        <w:rPr>
          <w:rFonts w:hint="eastAsia" w:ascii="仿宋" w:hAnsi="仿宋" w:eastAsia="仿宋" w:cs="仿宋_GB2312"/>
          <w:sz w:val="24"/>
          <w:szCs w:val="24"/>
        </w:rPr>
        <w:t>中国共产党仙居县第十四届代表大会第五次会议上的报告</w:t>
      </w:r>
    </w:p>
  </w:footnote>
  <w:footnote w:id="3">
    <w:p>
      <w:pPr>
        <w:rPr>
          <w:rFonts w:ascii="仿宋" w:hAnsi="仿宋" w:eastAsia="仿宋" w:cs="仿宋_GB2312"/>
          <w:sz w:val="24"/>
          <w:szCs w:val="24"/>
        </w:rPr>
      </w:pPr>
      <w:r>
        <w:rPr>
          <w:sz w:val="18"/>
          <w:szCs w:val="18"/>
        </w:rPr>
        <w:footnoteRef/>
      </w:r>
      <w:r>
        <w:rPr>
          <w:rFonts w:hint="eastAsia"/>
          <w:sz w:val="18"/>
          <w:szCs w:val="18"/>
        </w:rPr>
        <w:t>仙居县国民经济和社会发展第十四个五年规划和二〇三五年远景目标纲要</w:t>
      </w:r>
    </w:p>
  </w:footnote>
  <w:footnote w:id="4">
    <w:p>
      <w:pPr>
        <w:jc w:val="left"/>
        <w:rPr>
          <w:rFonts w:ascii="仿宋" w:hAnsi="仿宋" w:eastAsia="仿宋" w:cs="仿宋_GB2312"/>
          <w:sz w:val="24"/>
          <w:szCs w:val="24"/>
        </w:rPr>
      </w:pPr>
      <w:r>
        <w:rPr>
          <w:rStyle w:val="20"/>
        </w:rPr>
        <w:footnoteRef/>
      </w:r>
      <w:r>
        <w:rPr>
          <w:rFonts w:hint="eastAsia" w:ascii="仿宋" w:hAnsi="仿宋" w:eastAsia="仿宋" w:cs="仿宋_GB2312"/>
          <w:sz w:val="24"/>
          <w:szCs w:val="24"/>
        </w:rPr>
        <w:t>仙居县国民经济和社会发展第十四个五年规划和二〇三五年远景目标纲要</w:t>
      </w:r>
    </w:p>
  </w:footnote>
  <w:footnote w:id="5">
    <w:p>
      <w:pPr>
        <w:pStyle w:val="9"/>
      </w:pPr>
      <w:r>
        <w:footnoteRef/>
      </w:r>
      <w:r>
        <w:rPr>
          <w:rFonts w:hint="eastAsia"/>
        </w:rPr>
        <w:t>县委十四届二十九次全体（扩大）会议报告</w:t>
      </w:r>
    </w:p>
  </w:footnote>
  <w:footnote w:id="6">
    <w:p>
      <w:pPr>
        <w:rPr>
          <w:rFonts w:ascii="仿宋" w:hAnsi="仿宋" w:eastAsia="仿宋" w:cs="仿宋_GB2312"/>
          <w:sz w:val="24"/>
          <w:szCs w:val="24"/>
        </w:rPr>
      </w:pPr>
      <w:r>
        <w:rPr>
          <w:sz w:val="18"/>
          <w:szCs w:val="18"/>
        </w:rPr>
        <w:footnoteRef/>
      </w:r>
      <w:r>
        <w:rPr>
          <w:rFonts w:hint="eastAsia"/>
          <w:sz w:val="18"/>
          <w:szCs w:val="18"/>
        </w:rPr>
        <w:t>仙居县国民经济和社会发展第十四个五年规划和二〇三五年远景目标纲要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cumentProtection w:enforcement="0"/>
  <w:defaultTabStop w:val="420"/>
  <w:drawingGridVerticalSpacing w:val="156"/>
  <w:noPunctuationKerning w:val="1"/>
  <w:characterSpacingControl w:val="compressPunctuation"/>
  <w:footnotePr>
    <w:footnote w:id="14"/>
    <w:footnote w:id="1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94"/>
    <w:rsid w:val="0000067B"/>
    <w:rsid w:val="0000440C"/>
    <w:rsid w:val="00004E3E"/>
    <w:rsid w:val="00004F72"/>
    <w:rsid w:val="00004FD1"/>
    <w:rsid w:val="00014E1D"/>
    <w:rsid w:val="0001507A"/>
    <w:rsid w:val="00015277"/>
    <w:rsid w:val="00015B55"/>
    <w:rsid w:val="00021919"/>
    <w:rsid w:val="00031965"/>
    <w:rsid w:val="000354D0"/>
    <w:rsid w:val="00035AAA"/>
    <w:rsid w:val="000446F2"/>
    <w:rsid w:val="0005431A"/>
    <w:rsid w:val="00055BBB"/>
    <w:rsid w:val="00060AF3"/>
    <w:rsid w:val="00062C08"/>
    <w:rsid w:val="000656DA"/>
    <w:rsid w:val="000714D6"/>
    <w:rsid w:val="000746D8"/>
    <w:rsid w:val="000839EF"/>
    <w:rsid w:val="00086D15"/>
    <w:rsid w:val="0008767C"/>
    <w:rsid w:val="000877BA"/>
    <w:rsid w:val="00097288"/>
    <w:rsid w:val="000A19E7"/>
    <w:rsid w:val="000A36AC"/>
    <w:rsid w:val="000A7239"/>
    <w:rsid w:val="000B0CDD"/>
    <w:rsid w:val="000B17BE"/>
    <w:rsid w:val="000B22F1"/>
    <w:rsid w:val="000B789C"/>
    <w:rsid w:val="000C18D3"/>
    <w:rsid w:val="000C1E11"/>
    <w:rsid w:val="000C1F70"/>
    <w:rsid w:val="000C354F"/>
    <w:rsid w:val="000C3AB2"/>
    <w:rsid w:val="000C4A98"/>
    <w:rsid w:val="000D1AEA"/>
    <w:rsid w:val="000D30E8"/>
    <w:rsid w:val="000D3A0C"/>
    <w:rsid w:val="000D4E0B"/>
    <w:rsid w:val="000E1BF6"/>
    <w:rsid w:val="000E32BF"/>
    <w:rsid w:val="000E4318"/>
    <w:rsid w:val="000E63C6"/>
    <w:rsid w:val="000F65C4"/>
    <w:rsid w:val="000F7EEA"/>
    <w:rsid w:val="0010032A"/>
    <w:rsid w:val="00104BDF"/>
    <w:rsid w:val="001073C8"/>
    <w:rsid w:val="001104DB"/>
    <w:rsid w:val="001139A8"/>
    <w:rsid w:val="001162D4"/>
    <w:rsid w:val="001245BB"/>
    <w:rsid w:val="00126D75"/>
    <w:rsid w:val="00135584"/>
    <w:rsid w:val="00141D44"/>
    <w:rsid w:val="00143128"/>
    <w:rsid w:val="00143D8B"/>
    <w:rsid w:val="00152F20"/>
    <w:rsid w:val="001561A1"/>
    <w:rsid w:val="00156D93"/>
    <w:rsid w:val="001616EB"/>
    <w:rsid w:val="00161C50"/>
    <w:rsid w:val="001625CE"/>
    <w:rsid w:val="00162FA4"/>
    <w:rsid w:val="001667AF"/>
    <w:rsid w:val="0017078E"/>
    <w:rsid w:val="001712B4"/>
    <w:rsid w:val="0017241B"/>
    <w:rsid w:val="0017341B"/>
    <w:rsid w:val="00174711"/>
    <w:rsid w:val="00175147"/>
    <w:rsid w:val="00186322"/>
    <w:rsid w:val="001A2E94"/>
    <w:rsid w:val="001A33FC"/>
    <w:rsid w:val="001A5453"/>
    <w:rsid w:val="001A7674"/>
    <w:rsid w:val="001A7F31"/>
    <w:rsid w:val="001B2E4B"/>
    <w:rsid w:val="001B356F"/>
    <w:rsid w:val="001B49F9"/>
    <w:rsid w:val="001B5AD0"/>
    <w:rsid w:val="001B5C86"/>
    <w:rsid w:val="001C1E4B"/>
    <w:rsid w:val="001C3564"/>
    <w:rsid w:val="001C71CB"/>
    <w:rsid w:val="001C7F01"/>
    <w:rsid w:val="001D00A6"/>
    <w:rsid w:val="001D1A47"/>
    <w:rsid w:val="001D1A5A"/>
    <w:rsid w:val="001D2719"/>
    <w:rsid w:val="001D3510"/>
    <w:rsid w:val="001E129F"/>
    <w:rsid w:val="001E15D1"/>
    <w:rsid w:val="001E39CA"/>
    <w:rsid w:val="001E4AA5"/>
    <w:rsid w:val="001E62D3"/>
    <w:rsid w:val="001E6735"/>
    <w:rsid w:val="001E7B01"/>
    <w:rsid w:val="001E7BC1"/>
    <w:rsid w:val="001F4CF3"/>
    <w:rsid w:val="002012A6"/>
    <w:rsid w:val="00211862"/>
    <w:rsid w:val="00212F8C"/>
    <w:rsid w:val="00213033"/>
    <w:rsid w:val="002175F4"/>
    <w:rsid w:val="00220165"/>
    <w:rsid w:val="002206CC"/>
    <w:rsid w:val="00222263"/>
    <w:rsid w:val="00231218"/>
    <w:rsid w:val="00232452"/>
    <w:rsid w:val="0023661A"/>
    <w:rsid w:val="00240592"/>
    <w:rsid w:val="00251149"/>
    <w:rsid w:val="0025288B"/>
    <w:rsid w:val="00253DAE"/>
    <w:rsid w:val="002568F5"/>
    <w:rsid w:val="002632E2"/>
    <w:rsid w:val="00263D6E"/>
    <w:rsid w:val="0027071A"/>
    <w:rsid w:val="0027112E"/>
    <w:rsid w:val="0027149B"/>
    <w:rsid w:val="00272A55"/>
    <w:rsid w:val="00282A21"/>
    <w:rsid w:val="00294BD9"/>
    <w:rsid w:val="002A0358"/>
    <w:rsid w:val="002A2FB3"/>
    <w:rsid w:val="002A4D0D"/>
    <w:rsid w:val="002A5ACF"/>
    <w:rsid w:val="002B0280"/>
    <w:rsid w:val="002B052A"/>
    <w:rsid w:val="002C072B"/>
    <w:rsid w:val="002C315C"/>
    <w:rsid w:val="002C34DC"/>
    <w:rsid w:val="002C7301"/>
    <w:rsid w:val="002D2002"/>
    <w:rsid w:val="002D2351"/>
    <w:rsid w:val="002D2770"/>
    <w:rsid w:val="002D3780"/>
    <w:rsid w:val="002D6D73"/>
    <w:rsid w:val="002D7EE8"/>
    <w:rsid w:val="002E19A3"/>
    <w:rsid w:val="002E1A66"/>
    <w:rsid w:val="002E533E"/>
    <w:rsid w:val="002E5887"/>
    <w:rsid w:val="002E6579"/>
    <w:rsid w:val="002E666E"/>
    <w:rsid w:val="002E74E1"/>
    <w:rsid w:val="002F05D5"/>
    <w:rsid w:val="002F303F"/>
    <w:rsid w:val="002F4878"/>
    <w:rsid w:val="002F7C7E"/>
    <w:rsid w:val="00300CA2"/>
    <w:rsid w:val="00300FAF"/>
    <w:rsid w:val="00301D45"/>
    <w:rsid w:val="003020F5"/>
    <w:rsid w:val="00303A57"/>
    <w:rsid w:val="00307AAF"/>
    <w:rsid w:val="00307BE3"/>
    <w:rsid w:val="00307C04"/>
    <w:rsid w:val="003129FD"/>
    <w:rsid w:val="0032420E"/>
    <w:rsid w:val="00327F04"/>
    <w:rsid w:val="00337852"/>
    <w:rsid w:val="0034202E"/>
    <w:rsid w:val="00344AB9"/>
    <w:rsid w:val="00345019"/>
    <w:rsid w:val="00356525"/>
    <w:rsid w:val="0037321E"/>
    <w:rsid w:val="003737E3"/>
    <w:rsid w:val="003748FC"/>
    <w:rsid w:val="0037508E"/>
    <w:rsid w:val="00380917"/>
    <w:rsid w:val="00382B4A"/>
    <w:rsid w:val="00385E64"/>
    <w:rsid w:val="003902A8"/>
    <w:rsid w:val="00392E73"/>
    <w:rsid w:val="0039328A"/>
    <w:rsid w:val="00394514"/>
    <w:rsid w:val="003A1DA3"/>
    <w:rsid w:val="003A2F7C"/>
    <w:rsid w:val="003A39A4"/>
    <w:rsid w:val="003A50B3"/>
    <w:rsid w:val="003B0858"/>
    <w:rsid w:val="003B08E5"/>
    <w:rsid w:val="003B0B63"/>
    <w:rsid w:val="003B1DDB"/>
    <w:rsid w:val="003B606C"/>
    <w:rsid w:val="003B6729"/>
    <w:rsid w:val="003C29DA"/>
    <w:rsid w:val="003C737A"/>
    <w:rsid w:val="003C7B37"/>
    <w:rsid w:val="003D3C7F"/>
    <w:rsid w:val="003D6BA7"/>
    <w:rsid w:val="003E1E75"/>
    <w:rsid w:val="003E2CC9"/>
    <w:rsid w:val="003E452E"/>
    <w:rsid w:val="003E656C"/>
    <w:rsid w:val="003F3EFC"/>
    <w:rsid w:val="003F4C4C"/>
    <w:rsid w:val="003F66F6"/>
    <w:rsid w:val="0040149A"/>
    <w:rsid w:val="00411928"/>
    <w:rsid w:val="00414464"/>
    <w:rsid w:val="00414E63"/>
    <w:rsid w:val="00415CAF"/>
    <w:rsid w:val="00420707"/>
    <w:rsid w:val="00421325"/>
    <w:rsid w:val="00426E1D"/>
    <w:rsid w:val="00431EC4"/>
    <w:rsid w:val="0043225C"/>
    <w:rsid w:val="00441B9B"/>
    <w:rsid w:val="00447494"/>
    <w:rsid w:val="00447894"/>
    <w:rsid w:val="00451BF7"/>
    <w:rsid w:val="004533FA"/>
    <w:rsid w:val="00460CC0"/>
    <w:rsid w:val="00461407"/>
    <w:rsid w:val="004620C1"/>
    <w:rsid w:val="00463629"/>
    <w:rsid w:val="00465297"/>
    <w:rsid w:val="004654FC"/>
    <w:rsid w:val="00465EE3"/>
    <w:rsid w:val="004663B7"/>
    <w:rsid w:val="0046762F"/>
    <w:rsid w:val="00467A26"/>
    <w:rsid w:val="0047185C"/>
    <w:rsid w:val="00472D68"/>
    <w:rsid w:val="00474A64"/>
    <w:rsid w:val="00475C74"/>
    <w:rsid w:val="00476614"/>
    <w:rsid w:val="00476B32"/>
    <w:rsid w:val="00477252"/>
    <w:rsid w:val="004778A8"/>
    <w:rsid w:val="004816A0"/>
    <w:rsid w:val="0048540D"/>
    <w:rsid w:val="004867A5"/>
    <w:rsid w:val="004871DB"/>
    <w:rsid w:val="00493B6F"/>
    <w:rsid w:val="00495576"/>
    <w:rsid w:val="00496285"/>
    <w:rsid w:val="004B6477"/>
    <w:rsid w:val="004B7B87"/>
    <w:rsid w:val="004C096E"/>
    <w:rsid w:val="004C11D9"/>
    <w:rsid w:val="004C3A14"/>
    <w:rsid w:val="004C43B8"/>
    <w:rsid w:val="004C4F03"/>
    <w:rsid w:val="004C5B72"/>
    <w:rsid w:val="004C695F"/>
    <w:rsid w:val="004C7CBD"/>
    <w:rsid w:val="004D4791"/>
    <w:rsid w:val="004D4F9A"/>
    <w:rsid w:val="004E098B"/>
    <w:rsid w:val="004E27C4"/>
    <w:rsid w:val="004E529B"/>
    <w:rsid w:val="005036C5"/>
    <w:rsid w:val="00504252"/>
    <w:rsid w:val="00505E56"/>
    <w:rsid w:val="005078EA"/>
    <w:rsid w:val="005104FE"/>
    <w:rsid w:val="00510967"/>
    <w:rsid w:val="00513E44"/>
    <w:rsid w:val="0051426F"/>
    <w:rsid w:val="005201CD"/>
    <w:rsid w:val="00520613"/>
    <w:rsid w:val="005209A0"/>
    <w:rsid w:val="00522DA0"/>
    <w:rsid w:val="00530561"/>
    <w:rsid w:val="005364E3"/>
    <w:rsid w:val="005368DF"/>
    <w:rsid w:val="0054345F"/>
    <w:rsid w:val="0054622A"/>
    <w:rsid w:val="00546705"/>
    <w:rsid w:val="00547A9B"/>
    <w:rsid w:val="0055207B"/>
    <w:rsid w:val="0055300B"/>
    <w:rsid w:val="00555089"/>
    <w:rsid w:val="00556533"/>
    <w:rsid w:val="00560341"/>
    <w:rsid w:val="00561936"/>
    <w:rsid w:val="005667A4"/>
    <w:rsid w:val="0056686E"/>
    <w:rsid w:val="00577F2B"/>
    <w:rsid w:val="00582ED4"/>
    <w:rsid w:val="00583CFE"/>
    <w:rsid w:val="00583DB2"/>
    <w:rsid w:val="00586140"/>
    <w:rsid w:val="00593A67"/>
    <w:rsid w:val="00593D78"/>
    <w:rsid w:val="005A0377"/>
    <w:rsid w:val="005A0B6D"/>
    <w:rsid w:val="005A179E"/>
    <w:rsid w:val="005A5B44"/>
    <w:rsid w:val="005A5F6A"/>
    <w:rsid w:val="005B0FED"/>
    <w:rsid w:val="005B3740"/>
    <w:rsid w:val="005B4562"/>
    <w:rsid w:val="005B5B15"/>
    <w:rsid w:val="005C0378"/>
    <w:rsid w:val="005C1E7D"/>
    <w:rsid w:val="005C262E"/>
    <w:rsid w:val="005D369E"/>
    <w:rsid w:val="005D4EA2"/>
    <w:rsid w:val="005E0371"/>
    <w:rsid w:val="005E057F"/>
    <w:rsid w:val="005E1F4F"/>
    <w:rsid w:val="005E5F19"/>
    <w:rsid w:val="005E5FE0"/>
    <w:rsid w:val="005F4807"/>
    <w:rsid w:val="005F6030"/>
    <w:rsid w:val="005F7098"/>
    <w:rsid w:val="0060165A"/>
    <w:rsid w:val="006052E9"/>
    <w:rsid w:val="00605552"/>
    <w:rsid w:val="00606223"/>
    <w:rsid w:val="0061636D"/>
    <w:rsid w:val="006176EC"/>
    <w:rsid w:val="00620C5F"/>
    <w:rsid w:val="0062330E"/>
    <w:rsid w:val="00623E48"/>
    <w:rsid w:val="00624209"/>
    <w:rsid w:val="00625C8B"/>
    <w:rsid w:val="006301E6"/>
    <w:rsid w:val="0063093F"/>
    <w:rsid w:val="00635D6F"/>
    <w:rsid w:val="006401D9"/>
    <w:rsid w:val="006432B9"/>
    <w:rsid w:val="00650F1B"/>
    <w:rsid w:val="00654BA8"/>
    <w:rsid w:val="00656A7A"/>
    <w:rsid w:val="00657EDD"/>
    <w:rsid w:val="00667359"/>
    <w:rsid w:val="0067497E"/>
    <w:rsid w:val="006807B7"/>
    <w:rsid w:val="006845D4"/>
    <w:rsid w:val="0068606D"/>
    <w:rsid w:val="0069517F"/>
    <w:rsid w:val="006A1088"/>
    <w:rsid w:val="006A2AAD"/>
    <w:rsid w:val="006A42F3"/>
    <w:rsid w:val="006B2809"/>
    <w:rsid w:val="006B7403"/>
    <w:rsid w:val="006C2B50"/>
    <w:rsid w:val="006C43B1"/>
    <w:rsid w:val="006D180F"/>
    <w:rsid w:val="006E6F00"/>
    <w:rsid w:val="006E789F"/>
    <w:rsid w:val="006F23EF"/>
    <w:rsid w:val="00710719"/>
    <w:rsid w:val="00714A27"/>
    <w:rsid w:val="007154A7"/>
    <w:rsid w:val="00717208"/>
    <w:rsid w:val="00720CF1"/>
    <w:rsid w:val="007235CB"/>
    <w:rsid w:val="00723852"/>
    <w:rsid w:val="00724FAD"/>
    <w:rsid w:val="0073199A"/>
    <w:rsid w:val="0073338D"/>
    <w:rsid w:val="00754F7E"/>
    <w:rsid w:val="007555B5"/>
    <w:rsid w:val="007625EC"/>
    <w:rsid w:val="007656A2"/>
    <w:rsid w:val="00765EAA"/>
    <w:rsid w:val="007740B3"/>
    <w:rsid w:val="007766E0"/>
    <w:rsid w:val="0078026A"/>
    <w:rsid w:val="00782548"/>
    <w:rsid w:val="00794938"/>
    <w:rsid w:val="00795BC6"/>
    <w:rsid w:val="00795D04"/>
    <w:rsid w:val="007A33DC"/>
    <w:rsid w:val="007A6AE3"/>
    <w:rsid w:val="007B1E22"/>
    <w:rsid w:val="007B2737"/>
    <w:rsid w:val="007B4B91"/>
    <w:rsid w:val="007C49BB"/>
    <w:rsid w:val="007D11AA"/>
    <w:rsid w:val="007D2206"/>
    <w:rsid w:val="007D2AF2"/>
    <w:rsid w:val="007D3D01"/>
    <w:rsid w:val="007E08E5"/>
    <w:rsid w:val="007E1443"/>
    <w:rsid w:val="007E2A14"/>
    <w:rsid w:val="007E6E0E"/>
    <w:rsid w:val="007F30D7"/>
    <w:rsid w:val="00807A1F"/>
    <w:rsid w:val="00811129"/>
    <w:rsid w:val="00815853"/>
    <w:rsid w:val="00820E7F"/>
    <w:rsid w:val="00824075"/>
    <w:rsid w:val="00833A6E"/>
    <w:rsid w:val="008378CE"/>
    <w:rsid w:val="008407E2"/>
    <w:rsid w:val="008424DE"/>
    <w:rsid w:val="008439CC"/>
    <w:rsid w:val="0084437C"/>
    <w:rsid w:val="00850F92"/>
    <w:rsid w:val="00851314"/>
    <w:rsid w:val="00852796"/>
    <w:rsid w:val="00854D3F"/>
    <w:rsid w:val="0085748D"/>
    <w:rsid w:val="00860E37"/>
    <w:rsid w:val="00864963"/>
    <w:rsid w:val="00866961"/>
    <w:rsid w:val="0087008A"/>
    <w:rsid w:val="008701D7"/>
    <w:rsid w:val="008728B7"/>
    <w:rsid w:val="00873F6C"/>
    <w:rsid w:val="008757FE"/>
    <w:rsid w:val="00875D80"/>
    <w:rsid w:val="0088272C"/>
    <w:rsid w:val="0088326F"/>
    <w:rsid w:val="0088466D"/>
    <w:rsid w:val="0089250E"/>
    <w:rsid w:val="00892619"/>
    <w:rsid w:val="00896720"/>
    <w:rsid w:val="008A08DD"/>
    <w:rsid w:val="008A162E"/>
    <w:rsid w:val="008B0FC0"/>
    <w:rsid w:val="008B3C3E"/>
    <w:rsid w:val="008B4EC4"/>
    <w:rsid w:val="008B5626"/>
    <w:rsid w:val="008C1995"/>
    <w:rsid w:val="008C51A4"/>
    <w:rsid w:val="008C7D6E"/>
    <w:rsid w:val="008D494A"/>
    <w:rsid w:val="008D5636"/>
    <w:rsid w:val="008D6D64"/>
    <w:rsid w:val="008E21A3"/>
    <w:rsid w:val="008E26BF"/>
    <w:rsid w:val="008E58D5"/>
    <w:rsid w:val="008F1371"/>
    <w:rsid w:val="00900676"/>
    <w:rsid w:val="00900A9C"/>
    <w:rsid w:val="00901FF8"/>
    <w:rsid w:val="00906961"/>
    <w:rsid w:val="00911F81"/>
    <w:rsid w:val="0091623E"/>
    <w:rsid w:val="009200FB"/>
    <w:rsid w:val="0092032F"/>
    <w:rsid w:val="009231E8"/>
    <w:rsid w:val="00926499"/>
    <w:rsid w:val="00926615"/>
    <w:rsid w:val="00931BF3"/>
    <w:rsid w:val="009328B5"/>
    <w:rsid w:val="009375B4"/>
    <w:rsid w:val="00940688"/>
    <w:rsid w:val="00945A90"/>
    <w:rsid w:val="00955303"/>
    <w:rsid w:val="00956561"/>
    <w:rsid w:val="00956792"/>
    <w:rsid w:val="009602AA"/>
    <w:rsid w:val="00960360"/>
    <w:rsid w:val="00965005"/>
    <w:rsid w:val="00965535"/>
    <w:rsid w:val="00965AEB"/>
    <w:rsid w:val="00971230"/>
    <w:rsid w:val="0097420D"/>
    <w:rsid w:val="00974A64"/>
    <w:rsid w:val="009754CF"/>
    <w:rsid w:val="0098190B"/>
    <w:rsid w:val="00982334"/>
    <w:rsid w:val="00983462"/>
    <w:rsid w:val="00983A0A"/>
    <w:rsid w:val="00987A9A"/>
    <w:rsid w:val="00994E38"/>
    <w:rsid w:val="009959A0"/>
    <w:rsid w:val="00996202"/>
    <w:rsid w:val="009A2744"/>
    <w:rsid w:val="009A3545"/>
    <w:rsid w:val="009B586D"/>
    <w:rsid w:val="009C0A2B"/>
    <w:rsid w:val="009C251E"/>
    <w:rsid w:val="009C56CB"/>
    <w:rsid w:val="009C6D50"/>
    <w:rsid w:val="009D66B5"/>
    <w:rsid w:val="009D6B73"/>
    <w:rsid w:val="009D7A6A"/>
    <w:rsid w:val="009E0A2A"/>
    <w:rsid w:val="009E12DF"/>
    <w:rsid w:val="009E5980"/>
    <w:rsid w:val="009F0C16"/>
    <w:rsid w:val="009F2C14"/>
    <w:rsid w:val="00A01766"/>
    <w:rsid w:val="00A07502"/>
    <w:rsid w:val="00A12A19"/>
    <w:rsid w:val="00A15084"/>
    <w:rsid w:val="00A17BEE"/>
    <w:rsid w:val="00A21FEB"/>
    <w:rsid w:val="00A23CA5"/>
    <w:rsid w:val="00A24EDA"/>
    <w:rsid w:val="00A27B18"/>
    <w:rsid w:val="00A3070E"/>
    <w:rsid w:val="00A37D94"/>
    <w:rsid w:val="00A4379D"/>
    <w:rsid w:val="00A45DE5"/>
    <w:rsid w:val="00A465FA"/>
    <w:rsid w:val="00A506A4"/>
    <w:rsid w:val="00A517B8"/>
    <w:rsid w:val="00A524AC"/>
    <w:rsid w:val="00A548F0"/>
    <w:rsid w:val="00A601C4"/>
    <w:rsid w:val="00A66F61"/>
    <w:rsid w:val="00A71B01"/>
    <w:rsid w:val="00A725BA"/>
    <w:rsid w:val="00A76400"/>
    <w:rsid w:val="00A82DB0"/>
    <w:rsid w:val="00A92440"/>
    <w:rsid w:val="00A945AF"/>
    <w:rsid w:val="00A96EBD"/>
    <w:rsid w:val="00AB2D41"/>
    <w:rsid w:val="00AB35F4"/>
    <w:rsid w:val="00AB7B80"/>
    <w:rsid w:val="00AC4FEF"/>
    <w:rsid w:val="00AD175B"/>
    <w:rsid w:val="00AD2E38"/>
    <w:rsid w:val="00AD30DC"/>
    <w:rsid w:val="00AD4A2B"/>
    <w:rsid w:val="00AD4DF7"/>
    <w:rsid w:val="00AE13D5"/>
    <w:rsid w:val="00AE19A3"/>
    <w:rsid w:val="00AE1A2B"/>
    <w:rsid w:val="00AF06C2"/>
    <w:rsid w:val="00AF1219"/>
    <w:rsid w:val="00AF20F6"/>
    <w:rsid w:val="00B03345"/>
    <w:rsid w:val="00B03661"/>
    <w:rsid w:val="00B17D98"/>
    <w:rsid w:val="00B240F8"/>
    <w:rsid w:val="00B246F1"/>
    <w:rsid w:val="00B25A77"/>
    <w:rsid w:val="00B30DB0"/>
    <w:rsid w:val="00B31B77"/>
    <w:rsid w:val="00B40FFE"/>
    <w:rsid w:val="00B4237C"/>
    <w:rsid w:val="00B42ED3"/>
    <w:rsid w:val="00B5228D"/>
    <w:rsid w:val="00B53827"/>
    <w:rsid w:val="00B55BD4"/>
    <w:rsid w:val="00B560A6"/>
    <w:rsid w:val="00B615A2"/>
    <w:rsid w:val="00B62B13"/>
    <w:rsid w:val="00B65C18"/>
    <w:rsid w:val="00B70B5F"/>
    <w:rsid w:val="00B722FA"/>
    <w:rsid w:val="00B804B0"/>
    <w:rsid w:val="00B81A7E"/>
    <w:rsid w:val="00B847B8"/>
    <w:rsid w:val="00B8488D"/>
    <w:rsid w:val="00B856D3"/>
    <w:rsid w:val="00B85EA5"/>
    <w:rsid w:val="00BA1D35"/>
    <w:rsid w:val="00BA50FE"/>
    <w:rsid w:val="00BA6FDC"/>
    <w:rsid w:val="00BB5D87"/>
    <w:rsid w:val="00BB7EE1"/>
    <w:rsid w:val="00BB7EF8"/>
    <w:rsid w:val="00BC1F84"/>
    <w:rsid w:val="00BC7066"/>
    <w:rsid w:val="00BD379E"/>
    <w:rsid w:val="00BD449E"/>
    <w:rsid w:val="00BD5169"/>
    <w:rsid w:val="00BD6AE1"/>
    <w:rsid w:val="00BD7ADB"/>
    <w:rsid w:val="00BD7D62"/>
    <w:rsid w:val="00BE71BB"/>
    <w:rsid w:val="00BF06E1"/>
    <w:rsid w:val="00C0080A"/>
    <w:rsid w:val="00C13EC0"/>
    <w:rsid w:val="00C23699"/>
    <w:rsid w:val="00C30BBA"/>
    <w:rsid w:val="00C3258B"/>
    <w:rsid w:val="00C35F1A"/>
    <w:rsid w:val="00C5037E"/>
    <w:rsid w:val="00C53587"/>
    <w:rsid w:val="00C57461"/>
    <w:rsid w:val="00C57F45"/>
    <w:rsid w:val="00C60084"/>
    <w:rsid w:val="00C62349"/>
    <w:rsid w:val="00C6244D"/>
    <w:rsid w:val="00C62463"/>
    <w:rsid w:val="00C65944"/>
    <w:rsid w:val="00C65FA8"/>
    <w:rsid w:val="00C8272B"/>
    <w:rsid w:val="00C82C6F"/>
    <w:rsid w:val="00C83A3F"/>
    <w:rsid w:val="00C83F37"/>
    <w:rsid w:val="00C8571F"/>
    <w:rsid w:val="00C872A4"/>
    <w:rsid w:val="00C879E9"/>
    <w:rsid w:val="00C87D80"/>
    <w:rsid w:val="00C90853"/>
    <w:rsid w:val="00C91935"/>
    <w:rsid w:val="00C93858"/>
    <w:rsid w:val="00C960C7"/>
    <w:rsid w:val="00C97DB5"/>
    <w:rsid w:val="00CA0CB4"/>
    <w:rsid w:val="00CA639A"/>
    <w:rsid w:val="00CB233A"/>
    <w:rsid w:val="00CB2AC1"/>
    <w:rsid w:val="00CC0439"/>
    <w:rsid w:val="00CC0EBB"/>
    <w:rsid w:val="00CC4F2A"/>
    <w:rsid w:val="00CC51F4"/>
    <w:rsid w:val="00CD031D"/>
    <w:rsid w:val="00CD313B"/>
    <w:rsid w:val="00CF0680"/>
    <w:rsid w:val="00CF2701"/>
    <w:rsid w:val="00CF76D6"/>
    <w:rsid w:val="00CF7ABA"/>
    <w:rsid w:val="00D020C5"/>
    <w:rsid w:val="00D03FE0"/>
    <w:rsid w:val="00D042F3"/>
    <w:rsid w:val="00D070BE"/>
    <w:rsid w:val="00D154C3"/>
    <w:rsid w:val="00D15B8A"/>
    <w:rsid w:val="00D214E9"/>
    <w:rsid w:val="00D2371B"/>
    <w:rsid w:val="00D260D3"/>
    <w:rsid w:val="00D3014B"/>
    <w:rsid w:val="00D455C7"/>
    <w:rsid w:val="00D47CB2"/>
    <w:rsid w:val="00D56FBC"/>
    <w:rsid w:val="00D60100"/>
    <w:rsid w:val="00D602F4"/>
    <w:rsid w:val="00D63586"/>
    <w:rsid w:val="00D64194"/>
    <w:rsid w:val="00D668E1"/>
    <w:rsid w:val="00D749DC"/>
    <w:rsid w:val="00D81A00"/>
    <w:rsid w:val="00D87724"/>
    <w:rsid w:val="00D90F26"/>
    <w:rsid w:val="00D915F8"/>
    <w:rsid w:val="00D955FB"/>
    <w:rsid w:val="00D968C7"/>
    <w:rsid w:val="00D970F9"/>
    <w:rsid w:val="00DA007B"/>
    <w:rsid w:val="00DA7806"/>
    <w:rsid w:val="00DB247E"/>
    <w:rsid w:val="00DB565D"/>
    <w:rsid w:val="00DC277A"/>
    <w:rsid w:val="00DC4CB6"/>
    <w:rsid w:val="00DC620B"/>
    <w:rsid w:val="00DC77BB"/>
    <w:rsid w:val="00DD08EC"/>
    <w:rsid w:val="00DD1AA9"/>
    <w:rsid w:val="00DD2676"/>
    <w:rsid w:val="00DD2AD8"/>
    <w:rsid w:val="00DD2FD1"/>
    <w:rsid w:val="00DD5F39"/>
    <w:rsid w:val="00DD6DC5"/>
    <w:rsid w:val="00DE1166"/>
    <w:rsid w:val="00DE17E4"/>
    <w:rsid w:val="00DF0E0F"/>
    <w:rsid w:val="00DF2C52"/>
    <w:rsid w:val="00E018B6"/>
    <w:rsid w:val="00E21371"/>
    <w:rsid w:val="00E25827"/>
    <w:rsid w:val="00E43669"/>
    <w:rsid w:val="00E43C66"/>
    <w:rsid w:val="00E4716E"/>
    <w:rsid w:val="00E516FB"/>
    <w:rsid w:val="00E56ED9"/>
    <w:rsid w:val="00E61E41"/>
    <w:rsid w:val="00E87344"/>
    <w:rsid w:val="00E91F67"/>
    <w:rsid w:val="00E9273F"/>
    <w:rsid w:val="00E937B4"/>
    <w:rsid w:val="00EA3E99"/>
    <w:rsid w:val="00EA507A"/>
    <w:rsid w:val="00EB0767"/>
    <w:rsid w:val="00EB106B"/>
    <w:rsid w:val="00EB62AB"/>
    <w:rsid w:val="00ED39D0"/>
    <w:rsid w:val="00ED4229"/>
    <w:rsid w:val="00EE528E"/>
    <w:rsid w:val="00EE63B2"/>
    <w:rsid w:val="00EE79B3"/>
    <w:rsid w:val="00EF06DF"/>
    <w:rsid w:val="00EF1008"/>
    <w:rsid w:val="00EF103D"/>
    <w:rsid w:val="00EF713B"/>
    <w:rsid w:val="00F01A7C"/>
    <w:rsid w:val="00F02D47"/>
    <w:rsid w:val="00F03091"/>
    <w:rsid w:val="00F05C22"/>
    <w:rsid w:val="00F20F38"/>
    <w:rsid w:val="00F214B4"/>
    <w:rsid w:val="00F22000"/>
    <w:rsid w:val="00F2679E"/>
    <w:rsid w:val="00F27AA5"/>
    <w:rsid w:val="00F33393"/>
    <w:rsid w:val="00F36C34"/>
    <w:rsid w:val="00F5072C"/>
    <w:rsid w:val="00F50F8E"/>
    <w:rsid w:val="00F53466"/>
    <w:rsid w:val="00F534D7"/>
    <w:rsid w:val="00F53EC4"/>
    <w:rsid w:val="00F55DB7"/>
    <w:rsid w:val="00F56F24"/>
    <w:rsid w:val="00F67E94"/>
    <w:rsid w:val="00F73760"/>
    <w:rsid w:val="00F74EF5"/>
    <w:rsid w:val="00F75A14"/>
    <w:rsid w:val="00F76154"/>
    <w:rsid w:val="00F802F2"/>
    <w:rsid w:val="00F82F0A"/>
    <w:rsid w:val="00F83849"/>
    <w:rsid w:val="00F86000"/>
    <w:rsid w:val="00F863B7"/>
    <w:rsid w:val="00F9105B"/>
    <w:rsid w:val="00F921CC"/>
    <w:rsid w:val="00F92D2A"/>
    <w:rsid w:val="00FA25F6"/>
    <w:rsid w:val="00FB05D4"/>
    <w:rsid w:val="00FB32C3"/>
    <w:rsid w:val="00FB563A"/>
    <w:rsid w:val="00FC06BE"/>
    <w:rsid w:val="00FC231F"/>
    <w:rsid w:val="00FC624B"/>
    <w:rsid w:val="00FD20C8"/>
    <w:rsid w:val="00FD266B"/>
    <w:rsid w:val="00FD34F3"/>
    <w:rsid w:val="00FD7485"/>
    <w:rsid w:val="00FE00EC"/>
    <w:rsid w:val="00FE0D3A"/>
    <w:rsid w:val="00FE2697"/>
    <w:rsid w:val="00FF16E5"/>
    <w:rsid w:val="00FF3701"/>
    <w:rsid w:val="00FF4045"/>
    <w:rsid w:val="00FF7B88"/>
    <w:rsid w:val="18CD6E0E"/>
    <w:rsid w:val="19A71B99"/>
    <w:rsid w:val="1A173E8D"/>
    <w:rsid w:val="201811CC"/>
    <w:rsid w:val="25580FD1"/>
    <w:rsid w:val="35981740"/>
    <w:rsid w:val="4D4E0936"/>
    <w:rsid w:val="57A0725C"/>
    <w:rsid w:val="5B5E608B"/>
    <w:rsid w:val="5E16200E"/>
    <w:rsid w:val="5F6A2F5A"/>
    <w:rsid w:val="65EF79E5"/>
    <w:rsid w:val="76FF0A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2"/>
    <w:semiHidden/>
    <w:unhideWhenUsed/>
    <w:qFormat/>
    <w:uiPriority w:val="99"/>
    <w:pPr>
      <w:jc w:val="left"/>
    </w:pPr>
  </w:style>
  <w:style w:type="paragraph" w:styleId="4">
    <w:name w:val="endnote text"/>
    <w:basedOn w:val="1"/>
    <w:link w:val="32"/>
    <w:semiHidden/>
    <w:unhideWhenUsed/>
    <w:qFormat/>
    <w:uiPriority w:val="99"/>
    <w:pPr>
      <w:snapToGrid w:val="0"/>
      <w:jc w:val="left"/>
    </w:pPr>
  </w:style>
  <w:style w:type="paragraph" w:styleId="5">
    <w:name w:val="Balloon Text"/>
    <w:basedOn w:val="1"/>
    <w:link w:val="28"/>
    <w:semiHidden/>
    <w:unhideWhenUsed/>
    <w:qFormat/>
    <w:uiPriority w:val="99"/>
    <w:rPr>
      <w:sz w:val="18"/>
      <w:szCs w:val="18"/>
    </w:rPr>
  </w:style>
  <w:style w:type="paragraph" w:styleId="6">
    <w:name w:val="footer"/>
    <w:basedOn w:val="1"/>
    <w:link w:val="31"/>
    <w:unhideWhenUsed/>
    <w:qFormat/>
    <w:uiPriority w:val="99"/>
    <w:pPr>
      <w:tabs>
        <w:tab w:val="center" w:pos="4153"/>
        <w:tab w:val="right" w:pos="8306"/>
      </w:tabs>
      <w:snapToGrid w:val="0"/>
      <w:jc w:val="left"/>
    </w:pPr>
    <w:rPr>
      <w:sz w:val="18"/>
      <w:szCs w:val="18"/>
    </w:rPr>
  </w:style>
  <w:style w:type="paragraph" w:styleId="7">
    <w:name w:val="header"/>
    <w:basedOn w:val="1"/>
    <w:link w:val="3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widowControl/>
      <w:tabs>
        <w:tab w:val="left" w:pos="980"/>
        <w:tab w:val="left" w:pos="1260"/>
        <w:tab w:val="right" w:leader="dot" w:pos="8260"/>
      </w:tabs>
      <w:spacing w:beforeLines="50"/>
      <w:ind w:firstLine="300" w:firstLineChars="100"/>
      <w:jc w:val="left"/>
    </w:pPr>
    <w:rPr>
      <w:rFonts w:ascii="Calibri" w:hAnsi="Calibri" w:eastAsia="宋体" w:cs="Times New Roman"/>
      <w:kern w:val="0"/>
      <w:sz w:val="30"/>
      <w:szCs w:val="30"/>
      <w:lang w:eastAsia="en-US" w:bidi="en-US"/>
    </w:rPr>
  </w:style>
  <w:style w:type="paragraph" w:styleId="9">
    <w:name w:val="footnote text"/>
    <w:basedOn w:val="1"/>
    <w:link w:val="29"/>
    <w:semiHidden/>
    <w:unhideWhenUsed/>
    <w:qFormat/>
    <w:uiPriority w:val="99"/>
    <w:pPr>
      <w:snapToGrid w:val="0"/>
      <w:jc w:val="left"/>
    </w:pPr>
    <w:rPr>
      <w:sz w:val="18"/>
      <w:szCs w:val="18"/>
    </w:rPr>
  </w:style>
  <w:style w:type="paragraph" w:styleId="10">
    <w:name w:val="toc 2"/>
    <w:basedOn w:val="1"/>
    <w:next w:val="1"/>
    <w:qFormat/>
    <w:uiPriority w:val="39"/>
    <w:pPr>
      <w:widowControl/>
      <w:tabs>
        <w:tab w:val="left" w:pos="1456"/>
        <w:tab w:val="right" w:leader="dot" w:pos="8260"/>
      </w:tabs>
      <w:ind w:left="280" w:leftChars="100" w:firstLine="280" w:firstLineChars="100"/>
      <w:jc w:val="left"/>
    </w:pPr>
    <w:rPr>
      <w:rFonts w:ascii="Calibri" w:hAnsi="Calibri" w:eastAsia="宋体" w:cs="Times New Roman"/>
      <w:kern w:val="0"/>
      <w:sz w:val="22"/>
      <w:szCs w:val="30"/>
      <w:lang w:eastAsia="en-US" w:bidi="en-US"/>
    </w:rPr>
  </w:style>
  <w:style w:type="paragraph" w:styleId="11">
    <w:name w:val="Normal (Web)"/>
    <w:basedOn w:val="1"/>
    <w:qFormat/>
    <w:uiPriority w:val="0"/>
    <w:pPr>
      <w:spacing w:beforeAutospacing="1" w:afterAutospacing="1"/>
      <w:jc w:val="left"/>
    </w:pPr>
    <w:rPr>
      <w:rFonts w:cs="Times New Roman"/>
      <w:kern w:val="0"/>
      <w:sz w:val="24"/>
      <w:szCs w:val="24"/>
    </w:rPr>
  </w:style>
  <w:style w:type="paragraph" w:styleId="12">
    <w:name w:val="annotation subject"/>
    <w:basedOn w:val="3"/>
    <w:next w:val="3"/>
    <w:link w:val="33"/>
    <w:semiHidden/>
    <w:unhideWhenUsed/>
    <w:qFormat/>
    <w:uiPriority w:val="99"/>
    <w:rPr>
      <w:b/>
      <w:bCs/>
    </w:rPr>
  </w:style>
  <w:style w:type="table" w:styleId="1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endnote reference"/>
    <w:basedOn w:val="15"/>
    <w:semiHidden/>
    <w:unhideWhenUsed/>
    <w:qFormat/>
    <w:uiPriority w:val="99"/>
    <w:rPr>
      <w:vertAlign w:val="superscript"/>
    </w:rPr>
  </w:style>
  <w:style w:type="character" w:styleId="18">
    <w:name w:val="page number"/>
    <w:qFormat/>
    <w:uiPriority w:val="0"/>
  </w:style>
  <w:style w:type="character" w:styleId="19">
    <w:name w:val="annotation reference"/>
    <w:basedOn w:val="15"/>
    <w:semiHidden/>
    <w:unhideWhenUsed/>
    <w:qFormat/>
    <w:uiPriority w:val="99"/>
    <w:rPr>
      <w:sz w:val="21"/>
      <w:szCs w:val="21"/>
    </w:rPr>
  </w:style>
  <w:style w:type="character" w:styleId="20">
    <w:name w:val="footnote reference"/>
    <w:basedOn w:val="15"/>
    <w:semiHidden/>
    <w:unhideWhenUsed/>
    <w:qFormat/>
    <w:uiPriority w:val="99"/>
    <w:rPr>
      <w:vertAlign w:val="superscript"/>
    </w:rPr>
  </w:style>
  <w:style w:type="paragraph" w:styleId="21">
    <w:name w:val="List Paragraph"/>
    <w:basedOn w:val="1"/>
    <w:qFormat/>
    <w:uiPriority w:val="34"/>
    <w:pPr>
      <w:ind w:firstLine="420" w:firstLineChars="200"/>
    </w:pPr>
  </w:style>
  <w:style w:type="character" w:customStyle="1" w:styleId="22">
    <w:name w:val="批注文字 Char"/>
    <w:basedOn w:val="15"/>
    <w:link w:val="3"/>
    <w:semiHidden/>
    <w:qFormat/>
    <w:uiPriority w:val="99"/>
  </w:style>
  <w:style w:type="character" w:customStyle="1" w:styleId="23">
    <w:name w:val="样式4 Char"/>
    <w:basedOn w:val="15"/>
    <w:link w:val="24"/>
    <w:qFormat/>
    <w:uiPriority w:val="0"/>
    <w:rPr>
      <w:rFonts w:ascii="楷体_GB2312" w:hAnsi="Cambria" w:eastAsia="楷体_GB2312" w:cs="Times New Roman"/>
      <w:kern w:val="0"/>
      <w:sz w:val="32"/>
      <w:szCs w:val="32"/>
      <w:lang w:eastAsia="en-US" w:bidi="en-US"/>
    </w:rPr>
  </w:style>
  <w:style w:type="paragraph" w:customStyle="1" w:styleId="24">
    <w:name w:val="样式4"/>
    <w:basedOn w:val="2"/>
    <w:link w:val="23"/>
    <w:qFormat/>
    <w:uiPriority w:val="0"/>
    <w:pPr>
      <w:keepNext w:val="0"/>
      <w:keepLines w:val="0"/>
      <w:widowControl/>
      <w:spacing w:before="0" w:after="0" w:line="500" w:lineRule="exact"/>
      <w:ind w:firstLine="621" w:firstLineChars="200"/>
      <w:jc w:val="left"/>
    </w:pPr>
    <w:rPr>
      <w:rFonts w:ascii="楷体_GB2312" w:hAnsi="Cambria" w:eastAsia="楷体_GB2312" w:cs="Times New Roman"/>
      <w:b w:val="0"/>
      <w:bCs w:val="0"/>
      <w:kern w:val="0"/>
      <w:lang w:eastAsia="en-US" w:bidi="en-US"/>
    </w:rPr>
  </w:style>
  <w:style w:type="character" w:customStyle="1" w:styleId="25">
    <w:name w:val="样式5 Char"/>
    <w:basedOn w:val="15"/>
    <w:link w:val="26"/>
    <w:qFormat/>
    <w:uiPriority w:val="0"/>
    <w:rPr>
      <w:rFonts w:ascii="楷体_GB2312" w:hAnsi="楷体_GB2312" w:eastAsia="楷体_GB2312" w:cs="楷体_GB2312"/>
      <w:color w:val="365F91"/>
      <w:sz w:val="32"/>
      <w:szCs w:val="32"/>
      <w:lang w:bidi="en-US"/>
    </w:rPr>
  </w:style>
  <w:style w:type="paragraph" w:customStyle="1" w:styleId="26">
    <w:name w:val="样式5"/>
    <w:basedOn w:val="2"/>
    <w:link w:val="25"/>
    <w:qFormat/>
    <w:uiPriority w:val="0"/>
    <w:pPr>
      <w:keepNext w:val="0"/>
      <w:keepLines w:val="0"/>
      <w:widowControl/>
      <w:spacing w:before="0" w:after="0" w:line="500" w:lineRule="exact"/>
      <w:jc w:val="left"/>
    </w:pPr>
    <w:rPr>
      <w:rFonts w:ascii="楷体_GB2312" w:hAnsi="楷体_GB2312" w:eastAsia="楷体_GB2312" w:cs="楷体_GB2312"/>
      <w:b w:val="0"/>
      <w:bCs w:val="0"/>
      <w:color w:val="365F91"/>
      <w:lang w:bidi="en-US"/>
    </w:rPr>
  </w:style>
  <w:style w:type="character" w:customStyle="1" w:styleId="27">
    <w:name w:val="标题 2 Char"/>
    <w:basedOn w:val="15"/>
    <w:link w:val="2"/>
    <w:semiHidden/>
    <w:qFormat/>
    <w:uiPriority w:val="9"/>
    <w:rPr>
      <w:rFonts w:asciiTheme="majorHAnsi" w:hAnsiTheme="majorHAnsi" w:eastAsiaTheme="majorEastAsia" w:cstheme="majorBidi"/>
      <w:b/>
      <w:bCs/>
      <w:sz w:val="32"/>
      <w:szCs w:val="32"/>
    </w:rPr>
  </w:style>
  <w:style w:type="character" w:customStyle="1" w:styleId="28">
    <w:name w:val="批注框文本 Char"/>
    <w:basedOn w:val="15"/>
    <w:link w:val="5"/>
    <w:semiHidden/>
    <w:qFormat/>
    <w:uiPriority w:val="99"/>
    <w:rPr>
      <w:sz w:val="18"/>
      <w:szCs w:val="18"/>
    </w:rPr>
  </w:style>
  <w:style w:type="character" w:customStyle="1" w:styleId="29">
    <w:name w:val="脚注文本 Char"/>
    <w:basedOn w:val="15"/>
    <w:link w:val="9"/>
    <w:semiHidden/>
    <w:qFormat/>
    <w:uiPriority w:val="99"/>
    <w:rPr>
      <w:sz w:val="18"/>
      <w:szCs w:val="18"/>
    </w:rPr>
  </w:style>
  <w:style w:type="character" w:customStyle="1" w:styleId="30">
    <w:name w:val="页眉 Char"/>
    <w:basedOn w:val="15"/>
    <w:link w:val="7"/>
    <w:semiHidden/>
    <w:qFormat/>
    <w:uiPriority w:val="99"/>
    <w:rPr>
      <w:sz w:val="18"/>
      <w:szCs w:val="18"/>
    </w:rPr>
  </w:style>
  <w:style w:type="character" w:customStyle="1" w:styleId="31">
    <w:name w:val="页脚 Char"/>
    <w:basedOn w:val="15"/>
    <w:link w:val="6"/>
    <w:qFormat/>
    <w:uiPriority w:val="99"/>
    <w:rPr>
      <w:sz w:val="18"/>
      <w:szCs w:val="18"/>
    </w:rPr>
  </w:style>
  <w:style w:type="character" w:customStyle="1" w:styleId="32">
    <w:name w:val="尾注文本 Char"/>
    <w:basedOn w:val="15"/>
    <w:link w:val="4"/>
    <w:semiHidden/>
    <w:qFormat/>
    <w:uiPriority w:val="99"/>
  </w:style>
  <w:style w:type="character" w:customStyle="1" w:styleId="33">
    <w:name w:val="批注主题 Char"/>
    <w:basedOn w:val="22"/>
    <w:link w:val="12"/>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35</Pages>
  <Words>2899</Words>
  <Characters>16527</Characters>
  <Lines>137</Lines>
  <Paragraphs>38</Paragraphs>
  <TotalTime>2</TotalTime>
  <ScaleCrop>false</ScaleCrop>
  <LinksUpToDate>false</LinksUpToDate>
  <CharactersWithSpaces>19388</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2020-12-09T22:27:00Z</dcterms:created>
  <dc:creator>崔永江</dc:creator>
  <cp:lastModifiedBy>xjxf12</cp:lastModifiedBy>
  <cp:lastPrinted>2021-12-01T16:27:00Z</cp:lastPrinted>
  <dcterms:modified xsi:type="dcterms:W3CDTF">2022-04-24T16:23:02Z</dcterms:modified>
  <cp:revision>450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D569171730F24199985BEC9B5770CDB8</vt:lpwstr>
  </property>
</Properties>
</file>