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宋体" w:eastAsia="黑体"/>
          <w:b/>
          <w:bCs/>
          <w:color w:val="auto"/>
          <w:spacing w:val="36"/>
          <w:sz w:val="84"/>
          <w:szCs w:val="84"/>
        </w:rPr>
      </w:pPr>
    </w:p>
    <w:p>
      <w:pPr>
        <w:adjustRightInd w:val="0"/>
        <w:snapToGrid w:val="0"/>
        <w:jc w:val="center"/>
        <w:rPr>
          <w:rFonts w:hint="eastAsia" w:ascii="黑体" w:hAnsi="宋体" w:eastAsia="黑体"/>
          <w:b/>
          <w:bCs/>
          <w:color w:val="auto"/>
          <w:spacing w:val="36"/>
          <w:sz w:val="84"/>
          <w:szCs w:val="84"/>
        </w:rPr>
      </w:pPr>
    </w:p>
    <w:p>
      <w:pPr>
        <w:adjustRightInd w:val="0"/>
        <w:snapToGrid w:val="0"/>
        <w:rPr>
          <w:rFonts w:hint="eastAsia" w:ascii="黑体" w:hAnsi="宋体" w:eastAsia="黑体"/>
          <w:b/>
          <w:bCs/>
          <w:color w:val="auto"/>
          <w:spacing w:val="36"/>
          <w:sz w:val="84"/>
          <w:szCs w:val="84"/>
        </w:rPr>
      </w:pPr>
    </w:p>
    <w:p>
      <w:pPr>
        <w:jc w:val="center"/>
        <w:rPr>
          <w:rFonts w:hint="eastAsia" w:ascii="宋体" w:hAnsi="宋体"/>
          <w:b/>
          <w:color w:val="auto"/>
          <w:spacing w:val="80"/>
          <w:sz w:val="84"/>
          <w:szCs w:val="84"/>
        </w:rPr>
      </w:pPr>
      <w:r>
        <w:rPr>
          <w:rFonts w:hint="eastAsia" w:ascii="宋体" w:hAnsi="宋体"/>
          <w:b/>
          <w:color w:val="auto"/>
          <w:spacing w:val="80"/>
          <w:sz w:val="84"/>
          <w:szCs w:val="84"/>
        </w:rPr>
        <w:t>竞争性磋商文件</w:t>
      </w: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r>
        <w:rPr>
          <w:rFonts w:hint="eastAsia" w:ascii="华文行楷" w:hAnsi="宋体" w:eastAsia="华文行楷"/>
          <w:b/>
          <w:bCs/>
          <w:color w:val="000000"/>
          <w:spacing w:val="36"/>
          <w:sz w:val="24"/>
          <w:lang w:eastAsia="zh-CN"/>
        </w:rPr>
        <w:drawing>
          <wp:inline distT="0" distB="0" distL="114300" distR="114300">
            <wp:extent cx="1952625" cy="1524000"/>
            <wp:effectExtent l="0" t="0" r="9525" b="0"/>
            <wp:docPr id="2" name="图片 1" descr="90120a056977b3f76d68e85d48a1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0120a056977b3f76d68e85d48a11fb"/>
                    <pic:cNvPicPr>
                      <a:picLocks noChangeAspect="1"/>
                    </pic:cNvPicPr>
                  </pic:nvPicPr>
                  <pic:blipFill>
                    <a:blip r:embed="rId9"/>
                    <a:stretch>
                      <a:fillRect/>
                    </a:stretch>
                  </pic:blipFill>
                  <pic:spPr>
                    <a:xfrm>
                      <a:off x="0" y="0"/>
                      <a:ext cx="1952625" cy="1524000"/>
                    </a:xfrm>
                    <a:prstGeom prst="rect">
                      <a:avLst/>
                    </a:prstGeom>
                    <a:noFill/>
                    <a:ln>
                      <a:noFill/>
                    </a:ln>
                  </pic:spPr>
                </pic:pic>
              </a:graphicData>
            </a:graphic>
          </wp:inline>
        </w:drawing>
      </w: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highlight w:val="none"/>
        </w:rPr>
      </w:pPr>
    </w:p>
    <w:p>
      <w:pPr>
        <w:adjustRightInd w:val="0"/>
        <w:snapToGrid w:val="0"/>
        <w:spacing w:line="480" w:lineRule="auto"/>
        <w:ind w:firstLine="3122" w:firstLineChars="1300"/>
        <w:jc w:val="both"/>
        <w:rPr>
          <w:rFonts w:hint="default" w:ascii="宋体" w:hAnsi="宋体" w:eastAsia="宋体"/>
          <w:b/>
          <w:color w:val="auto"/>
          <w:sz w:val="24"/>
          <w:highlight w:val="none"/>
          <w:lang w:val="en-US" w:eastAsia="zh-CN"/>
        </w:rPr>
      </w:pPr>
      <w:r>
        <w:rPr>
          <w:rFonts w:hint="eastAsia" w:ascii="宋体" w:hAnsi="宋体"/>
          <w:b/>
          <w:color w:val="auto"/>
          <w:sz w:val="24"/>
          <w:highlight w:val="none"/>
        </w:rPr>
        <w:t>项目编号：CTZB-2024040057</w:t>
      </w:r>
      <w:r>
        <w:rPr>
          <w:rFonts w:hint="eastAsia" w:ascii="宋体" w:hAnsi="宋体" w:eastAsia="宋体"/>
          <w:b/>
          <w:color w:val="auto"/>
          <w:sz w:val="24"/>
          <w:highlight w:val="none"/>
          <w:lang w:val="en-US" w:eastAsia="zh-CN"/>
        </w:rPr>
        <w:t xml:space="preserve"> </w:t>
      </w:r>
    </w:p>
    <w:p>
      <w:pPr>
        <w:adjustRightInd w:val="0"/>
        <w:snapToGrid w:val="0"/>
        <w:spacing w:line="480" w:lineRule="auto"/>
        <w:jc w:val="center"/>
        <w:rPr>
          <w:rFonts w:hint="eastAsia" w:ascii="宋体" w:hAnsi="宋体" w:eastAsia="宋体"/>
          <w:b/>
          <w:color w:val="auto"/>
          <w:sz w:val="24"/>
          <w:lang w:eastAsia="zh-CN"/>
        </w:rPr>
      </w:pPr>
      <w:r>
        <w:rPr>
          <w:rFonts w:hint="eastAsia" w:ascii="宋体" w:hAnsi="宋体"/>
          <w:b/>
          <w:color w:val="auto"/>
          <w:sz w:val="24"/>
        </w:rPr>
        <w:t>项目名称：</w:t>
      </w:r>
      <w:r>
        <w:rPr>
          <w:rFonts w:hint="eastAsia" w:ascii="宋体" w:hAnsi="宋体"/>
          <w:b/>
          <w:color w:val="auto"/>
          <w:sz w:val="24"/>
          <w:lang w:eastAsia="zh-CN"/>
        </w:rPr>
        <w:t>仙居县城乡冷链物流设施项目—物流网点连接线工程（下各镇）</w:t>
      </w:r>
    </w:p>
    <w:p>
      <w:pPr>
        <w:spacing w:line="500" w:lineRule="atLeast"/>
        <w:ind w:firstLine="560" w:firstLineChars="200"/>
        <w:rPr>
          <w:rFonts w:hint="eastAsia" w:ascii="宋体" w:hAnsi="宋体" w:eastAsia="华文行楷"/>
          <w:color w:val="auto"/>
          <w:sz w:val="28"/>
        </w:rPr>
      </w:pPr>
    </w:p>
    <w:p>
      <w:pPr>
        <w:spacing w:line="500" w:lineRule="atLeast"/>
        <w:ind w:firstLine="560" w:firstLineChars="200"/>
        <w:rPr>
          <w:rFonts w:hint="eastAsia" w:ascii="宋体" w:hAnsi="宋体" w:eastAsia="华文行楷"/>
          <w:color w:val="auto"/>
          <w:sz w:val="28"/>
        </w:rPr>
      </w:pPr>
    </w:p>
    <w:p>
      <w:pPr>
        <w:spacing w:line="500" w:lineRule="atLeast"/>
        <w:rPr>
          <w:rFonts w:hint="eastAsia" w:ascii="宋体" w:hAnsi="宋体"/>
          <w:bCs/>
          <w:color w:val="auto"/>
          <w:sz w:val="30"/>
        </w:rPr>
      </w:pPr>
    </w:p>
    <w:p>
      <w:pPr>
        <w:spacing w:line="500" w:lineRule="atLeast"/>
        <w:ind w:firstLine="1800" w:firstLineChars="750"/>
        <w:rPr>
          <w:rFonts w:hint="eastAsia" w:ascii="宋体" w:hAnsi="宋体"/>
          <w:bCs/>
          <w:color w:val="auto"/>
          <w:sz w:val="24"/>
        </w:rPr>
      </w:pPr>
      <w:r>
        <w:rPr>
          <w:rFonts w:hint="eastAsia" w:ascii="宋体" w:hAnsi="宋体"/>
          <w:bCs/>
          <w:color w:val="auto"/>
          <w:sz w:val="24"/>
        </w:rPr>
        <w:t xml:space="preserve">            </w:t>
      </w:r>
    </w:p>
    <w:p>
      <w:pPr>
        <w:spacing w:line="500" w:lineRule="atLeast"/>
        <w:ind w:firstLine="1920" w:firstLineChars="800"/>
        <w:jc w:val="both"/>
        <w:rPr>
          <w:rFonts w:hint="eastAsia" w:ascii="宋体" w:hAnsi="宋体"/>
          <w:bCs/>
          <w:color w:val="auto"/>
          <w:sz w:val="24"/>
          <w:u w:val="single"/>
          <w:lang w:eastAsia="zh-CN"/>
        </w:rPr>
      </w:pPr>
      <w:r>
        <w:rPr>
          <w:rFonts w:hint="eastAsia" w:ascii="宋体" w:hAnsi="宋体"/>
          <w:bCs/>
          <w:color w:val="auto"/>
          <w:sz w:val="24"/>
        </w:rPr>
        <w:t>采购单位：</w:t>
      </w:r>
      <w:r>
        <w:rPr>
          <w:rFonts w:hint="eastAsia" w:ascii="宋体" w:hAnsi="宋体"/>
          <w:bCs/>
          <w:color w:val="auto"/>
          <w:sz w:val="24"/>
          <w:u w:val="single"/>
          <w:lang w:eastAsia="zh-CN"/>
        </w:rPr>
        <w:t>仙居县交通运输局（盖章）</w:t>
      </w:r>
    </w:p>
    <w:p>
      <w:pPr>
        <w:spacing w:line="500" w:lineRule="atLeast"/>
        <w:jc w:val="center"/>
        <w:rPr>
          <w:rFonts w:hint="eastAsia" w:ascii="宋体" w:hAnsi="宋体"/>
          <w:bCs/>
          <w:color w:val="auto"/>
          <w:sz w:val="24"/>
        </w:rPr>
      </w:pPr>
      <w:r>
        <w:rPr>
          <w:rFonts w:hint="eastAsia" w:ascii="宋体" w:hAnsi="宋体"/>
          <w:bCs/>
          <w:color w:val="auto"/>
          <w:sz w:val="24"/>
          <w:u w:val="none"/>
          <w:lang w:val="en-US" w:eastAsia="zh-CN"/>
        </w:rPr>
        <w:t xml:space="preserve"> </w:t>
      </w:r>
      <w:r>
        <w:rPr>
          <w:rFonts w:hint="eastAsia" w:ascii="宋体" w:hAnsi="宋体"/>
          <w:bCs/>
          <w:color w:val="auto"/>
          <w:sz w:val="24"/>
        </w:rPr>
        <w:t>代理机构：</w:t>
      </w:r>
      <w:r>
        <w:rPr>
          <w:rFonts w:hint="eastAsia" w:ascii="宋体" w:hAnsi="宋体"/>
          <w:bCs/>
          <w:color w:val="auto"/>
          <w:sz w:val="24"/>
          <w:u w:val="single"/>
        </w:rPr>
        <w:t>浙江省成套招标代理有限公司  （盖章）</w:t>
      </w:r>
    </w:p>
    <w:p>
      <w:pPr>
        <w:spacing w:line="500" w:lineRule="atLeast"/>
        <w:jc w:val="center"/>
        <w:rPr>
          <w:rFonts w:hint="eastAsia" w:ascii="宋体" w:hAnsi="宋体"/>
          <w:bCs/>
          <w:color w:val="auto"/>
          <w:sz w:val="24"/>
        </w:rPr>
      </w:pPr>
    </w:p>
    <w:p>
      <w:pPr>
        <w:spacing w:line="500" w:lineRule="atLeast"/>
        <w:jc w:val="center"/>
        <w:rPr>
          <w:rFonts w:hint="eastAsia" w:ascii="宋体" w:hAnsi="宋体"/>
          <w:bCs/>
          <w:color w:val="auto"/>
          <w:sz w:val="24"/>
        </w:rPr>
      </w:pPr>
      <w:r>
        <w:rPr>
          <w:rFonts w:hint="eastAsia" w:ascii="宋体" w:hAnsi="宋体"/>
          <w:bCs/>
          <w:color w:val="auto"/>
          <w:sz w:val="24"/>
        </w:rPr>
        <w:t>二</w:t>
      </w:r>
      <w:r>
        <w:rPr>
          <w:rFonts w:hint="eastAsia" w:ascii="宋体" w:hAnsi="宋体" w:eastAsia="宋体"/>
          <w:bCs/>
          <w:color w:val="auto"/>
          <w:sz w:val="24"/>
          <w:lang w:val="en-US" w:eastAsia="zh-CN"/>
        </w:rPr>
        <w:t>〇</w:t>
      </w:r>
      <w:r>
        <w:rPr>
          <w:rFonts w:hint="eastAsia" w:ascii="宋体" w:hAnsi="宋体"/>
          <w:bCs/>
          <w:color w:val="auto"/>
          <w:sz w:val="24"/>
          <w:lang w:eastAsia="zh-CN"/>
        </w:rPr>
        <w:t>二</w:t>
      </w:r>
      <w:r>
        <w:rPr>
          <w:rFonts w:hint="eastAsia" w:ascii="宋体" w:hAnsi="宋体" w:eastAsia="宋体"/>
          <w:bCs/>
          <w:color w:val="auto"/>
          <w:sz w:val="24"/>
          <w:lang w:val="en-US" w:eastAsia="zh-CN"/>
        </w:rPr>
        <w:t>四</w:t>
      </w:r>
      <w:r>
        <w:rPr>
          <w:rFonts w:hint="eastAsia" w:ascii="宋体" w:hAnsi="宋体"/>
          <w:bCs/>
          <w:color w:val="auto"/>
          <w:sz w:val="24"/>
        </w:rPr>
        <w:t>年</w:t>
      </w:r>
      <w:r>
        <w:rPr>
          <w:rFonts w:hint="eastAsia" w:ascii="宋体" w:hAnsi="宋体"/>
          <w:bCs/>
          <w:color w:val="auto"/>
          <w:sz w:val="24"/>
          <w:lang w:val="en-US" w:eastAsia="zh-CN"/>
        </w:rPr>
        <w:t>四</w:t>
      </w:r>
      <w:r>
        <w:rPr>
          <w:rFonts w:hint="eastAsia" w:ascii="宋体" w:hAnsi="宋体"/>
          <w:bCs/>
          <w:color w:val="auto"/>
          <w:sz w:val="24"/>
        </w:rPr>
        <w:t>月</w:t>
      </w:r>
    </w:p>
    <w:p>
      <w:pPr>
        <w:pStyle w:val="15"/>
        <w:jc w:val="both"/>
        <w:rPr>
          <w:color w:val="auto"/>
          <w:sz w:val="21"/>
          <w:szCs w:val="21"/>
        </w:rPr>
        <w:sectPr>
          <w:headerReference r:id="rId4" w:type="first"/>
          <w:headerReference r:id="rId3" w:type="default"/>
          <w:footerReference r:id="rId5" w:type="default"/>
          <w:pgSz w:w="11906" w:h="16838"/>
          <w:pgMar w:top="1440" w:right="1133" w:bottom="1440" w:left="1440" w:header="851" w:footer="992" w:gutter="0"/>
          <w:pgNumType w:start="0"/>
          <w:cols w:space="720" w:num="1"/>
          <w:titlePg/>
          <w:docGrid w:linePitch="312" w:charSpace="0"/>
        </w:sectPr>
      </w:pPr>
    </w:p>
    <w:p>
      <w:pPr>
        <w:pStyle w:val="15"/>
        <w:rPr>
          <w:rFonts w:hint="eastAsia"/>
          <w:color w:val="auto"/>
          <w:sz w:val="36"/>
          <w:szCs w:val="36"/>
        </w:rPr>
      </w:pPr>
      <w:r>
        <w:rPr>
          <w:rFonts w:hint="eastAsia"/>
          <w:color w:val="auto"/>
          <w:sz w:val="36"/>
          <w:szCs w:val="36"/>
        </w:rPr>
        <w:t>目录</w:t>
      </w:r>
    </w:p>
    <w:p>
      <w:pPr>
        <w:pStyle w:val="15"/>
        <w:rPr>
          <w:rFonts w:hint="eastAsia" w:ascii="宋体" w:hAnsi="宋体" w:eastAsia="宋体" w:cs="宋体"/>
          <w:b w:val="0"/>
          <w:i w:val="0"/>
          <w:iCs w:val="0"/>
          <w:color w:val="auto"/>
          <w:sz w:val="24"/>
          <w:szCs w:val="24"/>
        </w:rPr>
      </w:pPr>
      <w:r>
        <w:rPr>
          <w:b w:val="0"/>
          <w:color w:val="auto"/>
          <w:sz w:val="30"/>
          <w:szCs w:val="30"/>
        </w:rPr>
        <w:fldChar w:fldCharType="begin"/>
      </w:r>
      <w:r>
        <w:rPr>
          <w:b w:val="0"/>
          <w:color w:val="auto"/>
          <w:sz w:val="30"/>
          <w:szCs w:val="30"/>
        </w:rPr>
        <w:instrText xml:space="preserve"> </w:instrText>
      </w:r>
      <w:r>
        <w:rPr>
          <w:rFonts w:hint="eastAsia"/>
          <w:b w:val="0"/>
          <w:color w:val="auto"/>
          <w:sz w:val="30"/>
          <w:szCs w:val="30"/>
        </w:rPr>
        <w:instrText xml:space="preserve">TOC \o "1-3" \h \z \u</w:instrText>
      </w:r>
      <w:r>
        <w:rPr>
          <w:b w:val="0"/>
          <w:color w:val="auto"/>
          <w:sz w:val="30"/>
          <w:szCs w:val="30"/>
        </w:rPr>
        <w:instrText xml:space="preserve"> </w:instrText>
      </w:r>
      <w:r>
        <w:rPr>
          <w:b w:val="0"/>
          <w:color w:val="auto"/>
          <w:sz w:val="30"/>
          <w:szCs w:val="30"/>
        </w:rPr>
        <w:fldChar w:fldCharType="separate"/>
      </w:r>
    </w:p>
    <w:p>
      <w:pPr>
        <w:pStyle w:val="15"/>
        <w:jc w:val="left"/>
        <w:rPr>
          <w:rFonts w:ascii="宋体" w:hAnsi="宋体" w:eastAsia="宋体" w:cs="宋体"/>
          <w:b w:val="0"/>
          <w:color w:val="000000" w:themeColor="text1"/>
          <w:sz w:val="30"/>
          <w:szCs w:val="30"/>
          <w14:textFill>
            <w14:solidFill>
              <w14:schemeClr w14:val="tx1"/>
            </w14:solidFill>
          </w14:textFill>
        </w:rPr>
      </w:pPr>
      <w:r>
        <w:rPr>
          <w:rFonts w:hint="eastAsia" w:ascii="宋体" w:hAnsi="宋体" w:eastAsia="宋体" w:cs="宋体"/>
          <w:b w:val="0"/>
          <w:color w:val="000000" w:themeColor="text1"/>
          <w:sz w:val="30"/>
          <w:szCs w:val="30"/>
          <w14:textFill>
            <w14:solidFill>
              <w14:schemeClr w14:val="tx1"/>
            </w14:solidFill>
          </w14:textFill>
        </w:rPr>
        <w:fldChar w:fldCharType="begin"/>
      </w:r>
      <w:r>
        <w:rPr>
          <w:rFonts w:hint="eastAsia" w:ascii="宋体" w:hAnsi="宋体" w:eastAsia="宋体" w:cs="宋体"/>
          <w:b w:val="0"/>
          <w:color w:val="000000" w:themeColor="text1"/>
          <w:sz w:val="30"/>
          <w:szCs w:val="30"/>
          <w14:textFill>
            <w14:solidFill>
              <w14:schemeClr w14:val="tx1"/>
            </w14:solidFill>
          </w14:textFill>
        </w:rPr>
        <w:instrText xml:space="preserve"> TOC \o "1-3" \h \z \u </w:instrText>
      </w:r>
      <w:r>
        <w:rPr>
          <w:rFonts w:hint="eastAsia" w:ascii="宋体" w:hAnsi="宋体" w:eastAsia="宋体" w:cs="宋体"/>
          <w:b w:val="0"/>
          <w:color w:val="000000" w:themeColor="text1"/>
          <w:sz w:val="30"/>
          <w:szCs w:val="30"/>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"_Toc306901419"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第一部分 磋商公告</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5"/>
        <w:jc w:val="left"/>
        <w:rPr>
          <w:rFonts w:ascii="宋体" w:hAnsi="宋体" w:eastAsia="宋体" w:cs="宋体"/>
          <w:b w:val="0"/>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"_Toc306901436"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第二部分 采购需求</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5"/>
        <w:jc w:val="left"/>
        <w:rPr>
          <w:rFonts w:ascii="宋体" w:hAnsi="宋体" w:eastAsia="宋体" w:cs="宋体"/>
          <w:b w:val="0"/>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"_Toc306901444"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第三部分 磋商须知</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5"/>
        <w:jc w:val="left"/>
        <w:rPr>
          <w:rFonts w:ascii="宋体" w:hAnsi="宋体" w:eastAsia="宋体" w:cs="宋体"/>
          <w:b w:val="0"/>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"_Toc306901457"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第四部分 评标办法及评分标准</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5"/>
        <w:jc w:val="left"/>
        <w:rPr>
          <w:rFonts w:ascii="宋体" w:hAnsi="宋体" w:eastAsia="宋体" w:cs="宋体"/>
          <w:b w:val="0"/>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"_Toc306901461"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第五部分 合同</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5"/>
        <w:jc w:val="left"/>
        <w:rPr>
          <w:rFonts w:ascii="宋体" w:hAnsi="宋体" w:eastAsia="宋体" w:cs="宋体"/>
          <w:b w:val="0"/>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"_Toc306901462" </w:instrText>
      </w:r>
      <w:r>
        <w:rPr>
          <w:color w:val="000000" w:themeColor="text1"/>
          <w14:textFill>
            <w14:solidFill>
              <w14:schemeClr w14:val="tx1"/>
            </w14:solidFill>
          </w14:textFill>
        </w:rPr>
        <w:fldChar w:fldCharType="separate"/>
      </w:r>
      <w:r>
        <w:rPr>
          <w:rStyle w:val="30"/>
          <w:rFonts w:hint="eastAsia" w:ascii="宋体" w:hAnsi="宋体" w:eastAsia="宋体" w:cs="宋体"/>
          <w:b w:val="0"/>
          <w:color w:val="000000" w:themeColor="text1"/>
          <w:sz w:val="30"/>
          <w:szCs w:val="30"/>
          <w14:textFill>
            <w14:solidFill>
              <w14:schemeClr w14:val="tx1"/>
            </w14:solidFill>
          </w14:textFill>
        </w:rPr>
        <w:t>第六部分 磋商响应文件格式</w:t>
      </w:r>
      <w:r>
        <w:rPr>
          <w:rStyle w:val="30"/>
          <w:rFonts w:hint="eastAsia" w:ascii="宋体" w:hAnsi="宋体" w:eastAsia="宋体" w:cs="宋体"/>
          <w:b w:val="0"/>
          <w:color w:val="000000" w:themeColor="text1"/>
          <w:sz w:val="30"/>
          <w:szCs w:val="30"/>
          <w14:textFill>
            <w14:solidFill>
              <w14:schemeClr w14:val="tx1"/>
            </w14:solidFill>
          </w14:textFill>
        </w:rPr>
        <w:fldChar w:fldCharType="end"/>
      </w:r>
    </w:p>
    <w:p>
      <w:pPr>
        <w:pStyle w:val="10"/>
        <w:keepNext w:val="0"/>
        <w:keepLines w:val="0"/>
        <w:pageBreakBefore w:val="0"/>
        <w:kinsoku/>
        <w:wordWrap/>
        <w:overflowPunct/>
        <w:topLinePunct w:val="0"/>
        <w:bidi w:val="0"/>
        <w:snapToGrid w:val="0"/>
        <w:spacing w:before="120" w:after="120" w:line="360" w:lineRule="exact"/>
        <w:jc w:val="center"/>
        <w:textAlignment w:val="auto"/>
        <w:outlineLvl w:val="0"/>
        <w:rPr>
          <w:rFonts w:ascii="黑体" w:hAnsi="宋体" w:eastAsia="黑体"/>
          <w:color w:val="auto"/>
          <w:sz w:val="30"/>
          <w:szCs w:val="30"/>
        </w:rPr>
      </w:pPr>
      <w:r>
        <w:rPr>
          <w:rFonts w:hint="eastAsia" w:hAnsi="宋体" w:eastAsia="宋体" w:cs="宋体"/>
          <w:color w:val="000000" w:themeColor="text1"/>
          <w:sz w:val="30"/>
          <w:szCs w:val="30"/>
          <w14:textFill>
            <w14:solidFill>
              <w14:schemeClr w14:val="tx1"/>
            </w14:solidFill>
          </w14:textFill>
        </w:rPr>
        <w:fldChar w:fldCharType="end"/>
      </w:r>
      <w:r>
        <w:rPr>
          <w:color w:val="auto"/>
          <w:sz w:val="30"/>
          <w:szCs w:val="30"/>
        </w:rPr>
        <w:fldChar w:fldCharType="end"/>
      </w:r>
      <w:r>
        <w:rPr>
          <w:b/>
          <w:color w:val="auto"/>
          <w:sz w:val="44"/>
          <w:szCs w:val="44"/>
        </w:rPr>
        <w:br w:type="page"/>
      </w:r>
      <w:bookmarkStart w:id="0" w:name="_Toc292375873"/>
      <w:bookmarkStart w:id="1" w:name="_Toc261001136"/>
      <w:bookmarkStart w:id="2" w:name="_Toc217998399"/>
      <w:bookmarkStart w:id="3" w:name="_Toc240724029"/>
      <w:bookmarkStart w:id="4" w:name="_Toc255459621"/>
      <w:bookmarkStart w:id="5" w:name="_Toc306901421"/>
      <w:bookmarkStart w:id="6" w:name="_Toc261001044"/>
      <w:bookmarkStart w:id="7" w:name="_Toc239128656"/>
      <w:bookmarkStart w:id="8" w:name="_Toc255819805"/>
      <w:bookmarkStart w:id="9" w:name="_Toc248896024"/>
      <w:bookmarkStart w:id="10" w:name="_Toc290043085"/>
      <w:bookmarkStart w:id="11" w:name="_Toc237138373"/>
      <w:bookmarkStart w:id="12" w:name="_Toc240724364"/>
      <w:bookmarkStart w:id="13" w:name="_Toc302983069"/>
      <w:bookmarkStart w:id="14" w:name="_Toc218007959"/>
      <w:bookmarkStart w:id="15" w:name="_Toc238443285"/>
      <w:bookmarkStart w:id="16" w:name="_Toc255821799"/>
      <w:bookmarkStart w:id="17" w:name="_Toc237079649"/>
      <w:bookmarkStart w:id="18" w:name="_Toc218007228"/>
      <w:bookmarkStart w:id="19" w:name="_Toc248896331"/>
      <w:bookmarkStart w:id="20" w:name="_Toc248896172"/>
      <w:bookmarkStart w:id="21" w:name="_Toc237656250"/>
      <w:bookmarkStart w:id="22" w:name="_Toc301444164"/>
      <w:bookmarkStart w:id="23" w:name="_Toc277078921"/>
      <w:bookmarkStart w:id="24" w:name="_Toc283973049"/>
      <w:r>
        <w:rPr>
          <w:rFonts w:hint="eastAsia" w:ascii="宋体" w:hAnsi="宋体" w:eastAsia="宋体" w:cs="宋体"/>
          <w:b/>
          <w:bCs/>
          <w:color w:val="auto"/>
          <w:sz w:val="36"/>
          <w:szCs w:val="36"/>
        </w:rPr>
        <w:t>第一章 竞争性磋商公告</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tblPr>
        <w:tblStyle w:val="2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9300" w:type="dxa"/>
            <w:noWrap w:val="0"/>
            <w:vAlign w:val="top"/>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auto"/>
                <w:spacing w:val="0"/>
                <w:sz w:val="21"/>
                <w:szCs w:val="21"/>
                <w:highlight w:val="none"/>
              </w:rPr>
            </w:pPr>
            <w:bookmarkStart w:id="25" w:name="B30_其他事项"/>
            <w:r>
              <w:rPr>
                <w:rFonts w:hint="eastAsia" w:ascii="微软雅黑" w:hAnsi="微软雅黑" w:eastAsia="微软雅黑" w:cs="微软雅黑"/>
                <w:i w:val="0"/>
                <w:caps w:val="0"/>
                <w:color w:val="auto"/>
                <w:spacing w:val="0"/>
                <w:sz w:val="31"/>
                <w:szCs w:val="31"/>
                <w:highlight w:val="none"/>
              </w:rPr>
              <w:t> </w:t>
            </w:r>
            <w:r>
              <w:rPr>
                <w:rFonts w:hint="eastAsia" w:ascii="宋体" w:hAnsi="宋体" w:eastAsia="宋体" w:cs="宋体"/>
                <w:i w:val="0"/>
                <w:caps w:val="0"/>
                <w:color w:val="auto"/>
                <w:spacing w:val="0"/>
                <w:sz w:val="21"/>
                <w:szCs w:val="21"/>
                <w:highlight w:val="none"/>
              </w:rPr>
              <w:t> 项目概况</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10" w:right="0" w:hanging="210" w:hangingChars="100"/>
              <w:jc w:val="both"/>
              <w:textAlignment w:val="auto"/>
              <w:rPr>
                <w:rFonts w:hint="eastAsia" w:cs="宋体"/>
                <w:b/>
                <w:color w:val="auto"/>
                <w:kern w:val="2"/>
                <w:sz w:val="21"/>
                <w:szCs w:val="21"/>
                <w:highlight w:val="none"/>
                <w:vertAlign w:val="baseline"/>
                <w:lang w:bidi="ar"/>
              </w:rPr>
            </w:pPr>
            <w:r>
              <w:rPr>
                <w:rFonts w:hint="eastAsia" w:ascii="宋体" w:hAnsi="宋体" w:eastAsia="宋体" w:cs="宋体"/>
                <w:i w:val="0"/>
                <w:caps w:val="0"/>
                <w:color w:val="auto"/>
                <w:spacing w:val="0"/>
                <w:sz w:val="21"/>
                <w:szCs w:val="21"/>
                <w:highlight w:val="none"/>
              </w:rPr>
              <w:t> </w:t>
            </w:r>
            <w:r>
              <w:rPr>
                <w:rFonts w:hint="eastAsia" w:eastAsia="宋体" w:cs="宋体"/>
                <w:i w:val="0"/>
                <w:caps w:val="0"/>
                <w:color w:val="auto"/>
                <w:spacing w:val="0"/>
                <w:sz w:val="21"/>
                <w:szCs w:val="21"/>
                <w:highlight w:val="none"/>
                <w:u w:val="single"/>
                <w:lang w:eastAsia="zh-CN"/>
              </w:rPr>
              <w:t>仙居县城乡冷链物流设施项目—物流网点连接线工程（下各镇）</w:t>
            </w:r>
            <w:r>
              <w:rPr>
                <w:rFonts w:hint="eastAsia" w:cs="宋体"/>
                <w:i w:val="0"/>
                <w:caps w:val="0"/>
                <w:color w:val="auto"/>
                <w:spacing w:val="0"/>
                <w:sz w:val="21"/>
                <w:szCs w:val="21"/>
                <w:highlight w:val="none"/>
                <w:u w:val="single"/>
                <w:lang w:val="en-US" w:eastAsia="zh-CN"/>
              </w:rPr>
              <w:t xml:space="preserve"> </w:t>
            </w:r>
            <w:r>
              <w:rPr>
                <w:rFonts w:hint="eastAsia" w:ascii="宋体" w:hAnsi="宋体" w:eastAsia="宋体" w:cs="宋体"/>
                <w:i w:val="0"/>
                <w:caps w:val="0"/>
                <w:color w:val="auto"/>
                <w:spacing w:val="0"/>
                <w:sz w:val="21"/>
                <w:szCs w:val="21"/>
                <w:highlight w:val="none"/>
                <w:u w:val="single"/>
              </w:rPr>
              <w:t>的</w:t>
            </w:r>
            <w:r>
              <w:rPr>
                <w:rFonts w:hint="eastAsia" w:ascii="宋体" w:hAnsi="宋体" w:eastAsia="宋体" w:cs="宋体"/>
                <w:i w:val="0"/>
                <w:caps w:val="0"/>
                <w:color w:val="auto"/>
                <w:spacing w:val="0"/>
                <w:sz w:val="21"/>
                <w:szCs w:val="21"/>
                <w:highlight w:val="none"/>
                <w:u w:val="none"/>
              </w:rPr>
              <w:t>潜在供应商应在</w:t>
            </w:r>
            <w:r>
              <w:rPr>
                <w:rFonts w:hint="eastAsia" w:ascii="宋体" w:hAnsi="宋体" w:eastAsia="宋体" w:cs="宋体"/>
                <w:i w:val="0"/>
                <w:caps w:val="0"/>
                <w:color w:val="auto"/>
                <w:spacing w:val="0"/>
                <w:sz w:val="21"/>
                <w:szCs w:val="21"/>
                <w:highlight w:val="none"/>
                <w:u w:val="single"/>
              </w:rPr>
              <w:t xml:space="preserve"> 浙江政府采购网（http://zfcg.czt.zj.gov.cn） </w:t>
            </w:r>
            <w:r>
              <w:rPr>
                <w:rFonts w:hint="eastAsia" w:ascii="宋体" w:hAnsi="宋体" w:eastAsia="宋体" w:cs="宋体"/>
                <w:i w:val="0"/>
                <w:caps w:val="0"/>
                <w:color w:val="auto"/>
                <w:spacing w:val="0"/>
                <w:sz w:val="21"/>
                <w:szCs w:val="21"/>
                <w:highlight w:val="none"/>
                <w:u w:val="none"/>
              </w:rPr>
              <w:t>获取（下载）采购文件，并于</w:t>
            </w:r>
            <w:r>
              <w:rPr>
                <w:rFonts w:hint="eastAsia" w:ascii="宋体" w:hAnsi="宋体" w:eastAsia="宋体" w:cs="宋体"/>
                <w:i w:val="0"/>
                <w:caps w:val="0"/>
                <w:color w:val="auto"/>
                <w:spacing w:val="0"/>
                <w:sz w:val="21"/>
                <w:szCs w:val="21"/>
                <w:highlight w:val="none"/>
                <w:u w:val="single"/>
              </w:rPr>
              <w:t xml:space="preserve"> </w:t>
            </w:r>
            <w:r>
              <w:rPr>
                <w:rFonts w:hint="eastAsia" w:eastAsia="宋体" w:cs="宋体"/>
                <w:i w:val="0"/>
                <w:caps w:val="0"/>
                <w:color w:val="0000FF"/>
                <w:spacing w:val="0"/>
                <w:sz w:val="21"/>
                <w:szCs w:val="21"/>
                <w:highlight w:val="none"/>
                <w:u w:val="single"/>
                <w:lang w:eastAsia="zh-CN"/>
              </w:rPr>
              <w:t>2024年</w:t>
            </w:r>
            <w:r>
              <w:rPr>
                <w:rFonts w:hint="eastAsia" w:eastAsia="宋体" w:cs="宋体"/>
                <w:i w:val="0"/>
                <w:caps w:val="0"/>
                <w:color w:val="0000FF"/>
                <w:spacing w:val="0"/>
                <w:sz w:val="21"/>
                <w:szCs w:val="21"/>
                <w:highlight w:val="none"/>
                <w:u w:val="single"/>
                <w:lang w:val="en-US" w:eastAsia="zh-CN"/>
              </w:rPr>
              <w:t>04</w:t>
            </w:r>
            <w:r>
              <w:rPr>
                <w:rFonts w:hint="eastAsia" w:eastAsia="宋体" w:cs="宋体"/>
                <w:i w:val="0"/>
                <w:caps w:val="0"/>
                <w:color w:val="0000FF"/>
                <w:spacing w:val="0"/>
                <w:sz w:val="21"/>
                <w:szCs w:val="21"/>
                <w:highlight w:val="none"/>
                <w:u w:val="single"/>
                <w:lang w:eastAsia="zh-CN"/>
              </w:rPr>
              <w:t>月</w:t>
            </w:r>
            <w:r>
              <w:rPr>
                <w:rFonts w:hint="eastAsia" w:eastAsia="宋体" w:cs="宋体"/>
                <w:i w:val="0"/>
                <w:caps w:val="0"/>
                <w:color w:val="0000FF"/>
                <w:spacing w:val="0"/>
                <w:sz w:val="21"/>
                <w:szCs w:val="21"/>
                <w:highlight w:val="none"/>
                <w:u w:val="single"/>
                <w:lang w:val="en-US" w:eastAsia="zh-CN"/>
              </w:rPr>
              <w:t>18</w:t>
            </w:r>
            <w:r>
              <w:rPr>
                <w:rFonts w:hint="eastAsia" w:eastAsia="宋体" w:cs="宋体"/>
                <w:i w:val="0"/>
                <w:caps w:val="0"/>
                <w:color w:val="0000FF"/>
                <w:spacing w:val="0"/>
                <w:sz w:val="21"/>
                <w:szCs w:val="21"/>
                <w:highlight w:val="none"/>
                <w:u w:val="single"/>
                <w:lang w:eastAsia="zh-CN"/>
              </w:rPr>
              <w:t>日</w:t>
            </w:r>
            <w:r>
              <w:rPr>
                <w:rFonts w:hint="eastAsia" w:eastAsia="宋体" w:cs="宋体"/>
                <w:i w:val="0"/>
                <w:caps w:val="0"/>
                <w:color w:val="0000FF"/>
                <w:spacing w:val="0"/>
                <w:sz w:val="21"/>
                <w:szCs w:val="21"/>
                <w:highlight w:val="none"/>
                <w:u w:val="single"/>
                <w:lang w:val="en-US" w:eastAsia="zh-CN"/>
              </w:rPr>
              <w:t>09:00</w:t>
            </w:r>
            <w:r>
              <w:rPr>
                <w:rFonts w:hint="eastAsia" w:ascii="宋体" w:hAnsi="宋体" w:eastAsia="宋体" w:cs="宋体"/>
                <w:i w:val="0"/>
                <w:caps w:val="0"/>
                <w:color w:val="auto"/>
                <w:spacing w:val="0"/>
                <w:sz w:val="21"/>
                <w:szCs w:val="21"/>
                <w:highlight w:val="none"/>
                <w:u w:val="single"/>
              </w:rPr>
              <w:t>（北京时间）前提交（上传）响应文件</w:t>
            </w:r>
          </w:p>
        </w:tc>
      </w:tr>
    </w:tbl>
    <w:p>
      <w:pPr>
        <w:pStyle w:val="20"/>
        <w:widowControl w:val="0"/>
        <w:numPr>
          <w:ilvl w:val="0"/>
          <w:numId w:val="0"/>
        </w:numPr>
        <w:spacing w:before="0" w:beforeAutospacing="0" w:after="0" w:afterAutospacing="0" w:line="360" w:lineRule="auto"/>
        <w:ind w:left="420" w:leftChars="0"/>
        <w:jc w:val="both"/>
        <w:rPr>
          <w:rFonts w:hint="eastAsia" w:cs="宋体"/>
          <w:b/>
          <w:color w:val="auto"/>
          <w:kern w:val="2"/>
          <w:sz w:val="21"/>
          <w:szCs w:val="21"/>
          <w:highlight w:val="none"/>
          <w:lang w:bidi="ar"/>
        </w:rPr>
      </w:pP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项目基本情况</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项目编号：</w:t>
      </w:r>
      <w:r>
        <w:rPr>
          <w:rFonts w:ascii="微软雅黑" w:hAnsi="微软雅黑" w:eastAsia="微软雅黑" w:cs="微软雅黑"/>
          <w:i w:val="0"/>
          <w:iCs w:val="0"/>
          <w:caps w:val="0"/>
          <w:color w:val="242424"/>
          <w:spacing w:val="0"/>
          <w:sz w:val="18"/>
          <w:szCs w:val="18"/>
          <w:shd w:val="clear" w:fill="FFFFFF"/>
        </w:rPr>
        <w:t>CTZB-2024040057</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项目名称：</w:t>
      </w:r>
      <w:r>
        <w:rPr>
          <w:rFonts w:hint="eastAsia" w:ascii="宋体" w:hAnsi="宋体" w:eastAsia="宋体" w:cs="宋体"/>
          <w:color w:val="auto"/>
          <w:kern w:val="0"/>
          <w:sz w:val="21"/>
          <w:szCs w:val="21"/>
          <w:highlight w:val="none"/>
          <w:lang w:eastAsia="zh-CN"/>
        </w:rPr>
        <w:t>仙居县城乡冷链物流设施项目—物流网点连接线工程（下各镇）</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采购方式：竞争性磋商</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预算金额（元）：</w:t>
      </w:r>
      <w:r>
        <w:rPr>
          <w:rFonts w:hint="eastAsia" w:ascii="宋体" w:hAnsi="宋体" w:eastAsia="宋体" w:cs="宋体"/>
          <w:color w:val="auto"/>
          <w:kern w:val="0"/>
          <w:sz w:val="21"/>
          <w:szCs w:val="21"/>
          <w:highlight w:val="none"/>
          <w:lang w:eastAsia="zh-CN"/>
        </w:rPr>
        <w:t>3543987</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最高限价（元）：3295908</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数量：1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预算金额（元）：</w:t>
      </w:r>
      <w:r>
        <w:rPr>
          <w:rFonts w:hint="eastAsia" w:ascii="宋体" w:hAnsi="宋体" w:eastAsia="宋体" w:cs="宋体"/>
          <w:color w:val="auto"/>
          <w:kern w:val="0"/>
          <w:sz w:val="21"/>
          <w:szCs w:val="21"/>
          <w:highlight w:val="none"/>
          <w:lang w:eastAsia="zh-CN"/>
        </w:rPr>
        <w:t>3543987</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单位：项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简要规格描述：详见磋商文件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备注：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合同履约期限：标项 1，详见磋商文件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本项目（否）接受联合体投标。</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360" w:lineRule="auto"/>
        <w:ind w:left="0" w:leftChars="0" w:firstLine="422" w:firstLineChars="200"/>
        <w:jc w:val="both"/>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申请人的资格要求：</w:t>
      </w:r>
    </w:p>
    <w:p>
      <w:pPr>
        <w:keepNext w:val="0"/>
        <w:keepLines w:val="0"/>
        <w:pageBreakBefore w:val="0"/>
        <w:kinsoku/>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符合《中华人民共和国政府采购法》第二十二条规定的投标人资格条件及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 </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380" w:lineRule="exact"/>
        <w:ind w:right="23" w:firstLine="420" w:firstLineChars="200"/>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auto"/>
          <w:kern w:val="0"/>
          <w:sz w:val="21"/>
          <w:szCs w:val="21"/>
          <w:highlight w:val="none"/>
          <w:lang w:val="en-US" w:eastAsia="zh-CN"/>
        </w:rPr>
        <w:t>2.落实政府采购政策需满足的资格要求：</w:t>
      </w:r>
      <w:r>
        <w:rPr>
          <w:rFonts w:hint="eastAsia" w:ascii="宋体"/>
          <w:color w:val="000000" w:themeColor="text1"/>
          <w:sz w:val="21"/>
          <w:szCs w:val="21"/>
          <w:highlight w:val="none"/>
          <w14:textFill>
            <w14:solidFill>
              <w14:schemeClr w14:val="tx1"/>
            </w14:solidFill>
          </w14:textFill>
        </w:rPr>
        <w:t>供应商为中小企业/小微企业或监狱企业或残疾人福利性单位。</w:t>
      </w:r>
    </w:p>
    <w:p>
      <w:pPr>
        <w:pStyle w:val="4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outlineLvl w:val="9"/>
        <w:rPr>
          <w:rFonts w:hint="default" w:ascii="宋体" w:hAnsi="宋体" w:eastAsia="宋体" w:cs="宋体"/>
          <w:color w:val="auto"/>
          <w:sz w:val="21"/>
          <w:szCs w:val="21"/>
          <w:highlight w:val="yellow"/>
          <w:lang w:val="en-US" w:eastAsia="zh-CN"/>
        </w:rPr>
      </w:pPr>
      <w:r>
        <w:rPr>
          <w:rFonts w:hint="eastAsia" w:ascii="宋体" w:hAnsi="宋体" w:eastAsia="宋体" w:cs="宋体"/>
          <w:color w:val="auto"/>
          <w:kern w:val="0"/>
          <w:sz w:val="21"/>
          <w:szCs w:val="21"/>
          <w:highlight w:val="none"/>
          <w:lang w:val="en-US" w:eastAsia="zh-CN"/>
        </w:rPr>
        <w:t>3.本项目的特定资格要求：（1）具备公路工程施工总承包三级及以上资质或同时具有有效期内的路基路面养护乙级及以上资质和交通安全设施养护资质，并在人员、设备、资金等方面具有相应的施工能力。若为公路工程施工总承包一级及以上资质的应列入交通运输部网站（http://www.moc.gov.cn/）中“全国公路建设市场信用信息管理系统”中最新公布的公路工程施工资质企业名录，且投标人名称与上述名录相符；（2）企业具有安全生产许可证，且在有效期内。</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360" w:lineRule="auto"/>
        <w:ind w:left="0" w:leftChars="0" w:firstLine="422" w:firstLineChars="200"/>
        <w:jc w:val="both"/>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获取（下载）采购文件</w:t>
      </w:r>
    </w:p>
    <w:p>
      <w:pPr>
        <w:spacing w:beforeLines="0" w:afterLines="0" w:line="360" w:lineRule="auto"/>
        <w:ind w:firstLine="420" w:firstLineChars="200"/>
        <w:rPr>
          <w:rFonts w:hint="default" w:ascii="宋体" w:hAnsi="宋体" w:eastAsia="宋体"/>
          <w:color w:val="auto"/>
          <w:kern w:val="0"/>
          <w:sz w:val="21"/>
        </w:rPr>
      </w:pPr>
      <w:r>
        <w:rPr>
          <w:rFonts w:hint="default" w:ascii="宋体" w:hAnsi="宋体" w:eastAsia="宋体"/>
          <w:color w:val="auto"/>
          <w:kern w:val="0"/>
          <w:sz w:val="21"/>
        </w:rPr>
        <w:t>1.时间：/至</w:t>
      </w:r>
      <w:r>
        <w:rPr>
          <w:rFonts w:hint="default" w:ascii="宋体" w:hAnsi="宋体" w:eastAsia="宋体"/>
          <w:color w:val="auto"/>
          <w:kern w:val="0"/>
          <w:sz w:val="21"/>
          <w:lang w:eastAsia="zh-CN"/>
        </w:rPr>
        <w:t>2024年</w:t>
      </w:r>
      <w:r>
        <w:rPr>
          <w:rFonts w:hint="default" w:ascii="宋体" w:hAnsi="宋体" w:eastAsia="宋体"/>
          <w:color w:val="auto"/>
          <w:kern w:val="0"/>
          <w:sz w:val="21"/>
          <w:lang w:val="en-US" w:eastAsia="zh-CN"/>
        </w:rPr>
        <w:t>04</w:t>
      </w:r>
      <w:r>
        <w:rPr>
          <w:rFonts w:hint="default" w:ascii="宋体" w:hAnsi="宋体" w:eastAsia="宋体"/>
          <w:color w:val="auto"/>
          <w:kern w:val="0"/>
          <w:sz w:val="21"/>
          <w:lang w:eastAsia="zh-CN"/>
        </w:rPr>
        <w:t>月</w:t>
      </w:r>
      <w:r>
        <w:rPr>
          <w:rFonts w:hint="default" w:ascii="宋体" w:hAnsi="宋体" w:eastAsia="宋体"/>
          <w:color w:val="auto"/>
          <w:kern w:val="0"/>
          <w:sz w:val="21"/>
          <w:lang w:val="en-US" w:eastAsia="zh-CN"/>
        </w:rPr>
        <w:t>18</w:t>
      </w:r>
      <w:r>
        <w:rPr>
          <w:rFonts w:hint="default" w:ascii="宋体" w:hAnsi="宋体" w:eastAsia="宋体"/>
          <w:color w:val="auto"/>
          <w:kern w:val="0"/>
          <w:sz w:val="21"/>
          <w:lang w:eastAsia="zh-CN"/>
        </w:rPr>
        <w:t>日</w:t>
      </w:r>
      <w:r>
        <w:rPr>
          <w:rFonts w:hint="default" w:ascii="宋体" w:hAnsi="宋体" w:eastAsia="宋体"/>
          <w:color w:val="auto"/>
          <w:kern w:val="0"/>
          <w:sz w:val="21"/>
        </w:rPr>
        <w:t>，每天上午00:00至12:00，下午12:00至23:59（北京时间，线上获取法定节假日均可，线下获取文件法定节假日除外）</w:t>
      </w:r>
    </w:p>
    <w:p>
      <w:pPr>
        <w:spacing w:beforeLines="0" w:afterLines="0" w:line="360" w:lineRule="auto"/>
        <w:ind w:firstLine="420" w:firstLineChars="200"/>
        <w:rPr>
          <w:rFonts w:hint="default" w:ascii="宋体" w:hAnsi="宋体" w:eastAsia="宋体"/>
          <w:color w:val="auto"/>
          <w:kern w:val="0"/>
          <w:sz w:val="21"/>
        </w:rPr>
      </w:pPr>
      <w:r>
        <w:rPr>
          <w:rFonts w:hint="default" w:ascii="宋体" w:hAnsi="宋体" w:eastAsia="宋体"/>
          <w:color w:val="auto"/>
          <w:kern w:val="0"/>
          <w:sz w:val="21"/>
        </w:rPr>
        <w:t>2.地点（网址）：浙江政府采购网（http://zfcg.czt.zj.gov.cn） </w:t>
      </w:r>
    </w:p>
    <w:p>
      <w:pPr>
        <w:spacing w:beforeLines="0" w:afterLines="0" w:line="360" w:lineRule="auto"/>
        <w:ind w:firstLine="420" w:firstLineChars="200"/>
        <w:rPr>
          <w:rFonts w:hint="eastAsia" w:ascii="宋体" w:hAnsi="宋体" w:eastAsia="宋体" w:cs="宋体"/>
          <w:color w:val="auto"/>
          <w:kern w:val="0"/>
          <w:sz w:val="21"/>
          <w:szCs w:val="21"/>
          <w:highlight w:val="none"/>
          <w:lang w:val="en-US" w:eastAsia="zh-CN"/>
        </w:rPr>
      </w:pPr>
      <w:r>
        <w:rPr>
          <w:rFonts w:hint="default" w:ascii="宋体" w:hAnsi="宋体" w:eastAsia="宋体"/>
          <w:color w:val="auto"/>
          <w:kern w:val="0"/>
          <w:sz w:val="21"/>
        </w:rPr>
        <w:t>3.方式：供应商通过“浙江政府采购网”在线获取（磋商公告下方选取“潜在供应商”处“获取采购文件”），不提供纸制版采购文件；供应商只有在“浙江政府采购网”完成获取采购文件申请并下载了采购文件后才视作依法获取采购文件（法律法规所指的供应商获取采购文件时间以供应商完成获取采购文件申请后下载采购文件的时间为准）。通过公告下方“游客，浏览采购文件”下载的采购文件仅供浏览，不视作依法获取采购文件。 </w:t>
      </w:r>
      <w:r>
        <w:rPr>
          <w:rFonts w:hint="eastAsia" w:ascii="宋体" w:hAnsi="宋体" w:eastAsia="宋体" w:cs="宋体"/>
          <w:color w:val="auto"/>
          <w:kern w:val="0"/>
          <w:sz w:val="21"/>
          <w:szCs w:val="21"/>
          <w:highlight w:val="none"/>
          <w:lang w:val="en-US" w:eastAsia="zh-CN"/>
        </w:rPr>
        <w:t>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4.售价（元）：0 </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0" w:beforeLines="0" w:beforeAutospacing="0" w:after="0" w:afterLines="0" w:afterAutospacing="0" w:line="360" w:lineRule="auto"/>
        <w:ind w:left="0" w:leftChars="0" w:firstLine="422" w:firstLineChars="200"/>
        <w:jc w:val="both"/>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000000"/>
          <w:kern w:val="0"/>
          <w:sz w:val="21"/>
          <w:szCs w:val="21"/>
          <w:lang w:eastAsia="zh-CN"/>
        </w:rPr>
        <w:t>响应文件提交（上传）</w:t>
      </w:r>
    </w:p>
    <w:bookmarkEnd w:id="25"/>
    <w:p>
      <w:pPr>
        <w:pStyle w:val="20"/>
        <w:spacing w:before="0" w:beforeAutospacing="0" w:after="0" w:afterAutospacing="0" w:line="360" w:lineRule="auto"/>
        <w:ind w:firstLine="420" w:firstLineChars="200"/>
        <w:rPr>
          <w:rFonts w:hint="default" w:ascii="宋体" w:eastAsia="宋体"/>
          <w:color w:val="auto"/>
          <w:sz w:val="21"/>
        </w:rPr>
      </w:pPr>
      <w:bookmarkStart w:id="26" w:name="_Toc306901436"/>
      <w:bookmarkStart w:id="27" w:name="_Toc173810692"/>
      <w:r>
        <w:rPr>
          <w:rFonts w:hint="default" w:ascii="宋体" w:eastAsia="宋体"/>
          <w:color w:val="auto"/>
          <w:sz w:val="21"/>
        </w:rPr>
        <w:t>截止时间：</w:t>
      </w:r>
      <w:r>
        <w:rPr>
          <w:rFonts w:hint="default" w:eastAsia="宋体"/>
          <w:color w:val="0000FF"/>
          <w:kern w:val="0"/>
          <w:sz w:val="21"/>
          <w:lang w:val="en-US" w:eastAsia="zh-CN"/>
        </w:rPr>
        <w:t>2024年04月18日</w:t>
      </w:r>
      <w:r>
        <w:rPr>
          <w:rFonts w:hint="eastAsia" w:eastAsia="宋体"/>
          <w:color w:val="0000FF"/>
          <w:kern w:val="0"/>
          <w:sz w:val="21"/>
          <w:lang w:val="en-US" w:eastAsia="zh-CN"/>
        </w:rPr>
        <w:t>09:00</w:t>
      </w:r>
      <w:r>
        <w:rPr>
          <w:rFonts w:hint="default" w:ascii="宋体" w:eastAsia="宋体"/>
          <w:color w:val="auto"/>
          <w:sz w:val="21"/>
        </w:rPr>
        <w:t>（北京时间）</w:t>
      </w:r>
    </w:p>
    <w:p>
      <w:pPr>
        <w:pStyle w:val="20"/>
        <w:spacing w:before="0" w:beforeAutospacing="0" w:after="0" w:afterAutospacing="0" w:line="360" w:lineRule="auto"/>
        <w:ind w:firstLine="420" w:firstLineChars="200"/>
        <w:rPr>
          <w:rFonts w:hint="default" w:ascii="宋体" w:eastAsia="宋体"/>
          <w:color w:val="auto"/>
          <w:sz w:val="21"/>
        </w:rPr>
      </w:pPr>
      <w:r>
        <w:rPr>
          <w:rFonts w:hint="default" w:ascii="宋体" w:eastAsia="宋体"/>
          <w:color w:val="auto"/>
          <w:sz w:val="21"/>
        </w:rPr>
        <w:t>地点（网址）：（1）电子加密响应文件：政府采购云平台（https://www.zcygov.cn）在线递交。 （2）备份响应文件：政采云平台上最后生成的具备电子签章的备份响应文件，文件名后缀为备份标书四字的首字母。供应商自行确定是否提交；若提交请在提交磋商响应文件截止时间前将备份响应文件打包压缩加密（未加密造成泄密的由投标人自行承担）后以电子邮件的形式发送至</w:t>
      </w:r>
      <w:r>
        <w:rPr>
          <w:rFonts w:hint="eastAsia" w:eastAsia="宋体"/>
          <w:color w:val="auto"/>
          <w:sz w:val="21"/>
          <w:lang w:eastAsia="zh-CN"/>
        </w:rPr>
        <w:t>846270514@qq.com</w:t>
      </w:r>
      <w:r>
        <w:rPr>
          <w:rFonts w:hint="default" w:ascii="宋体" w:eastAsia="宋体"/>
          <w:color w:val="auto"/>
          <w:sz w:val="21"/>
        </w:rPr>
        <w:t>，逾期发送的将被视为未提交。</w:t>
      </w:r>
    </w:p>
    <w:p>
      <w:pPr>
        <w:pStyle w:val="20"/>
        <w:widowControl w:val="0"/>
        <w:numPr>
          <w:ilvl w:val="0"/>
          <w:numId w:val="0"/>
        </w:numPr>
        <w:spacing w:before="0" w:beforeAutospacing="0" w:after="0" w:afterAutospacing="0" w:line="360" w:lineRule="auto"/>
        <w:ind w:firstLine="422" w:firstLineChars="200"/>
        <w:jc w:val="both"/>
        <w:rPr>
          <w:rFonts w:hint="default" w:ascii="宋体" w:eastAsia="宋体"/>
          <w:b/>
          <w:color w:val="auto"/>
          <w:kern w:val="2"/>
          <w:sz w:val="21"/>
        </w:rPr>
      </w:pPr>
      <w:r>
        <w:rPr>
          <w:rFonts w:hint="eastAsia" w:eastAsia="宋体"/>
          <w:b/>
          <w:color w:val="auto"/>
          <w:kern w:val="2"/>
          <w:sz w:val="21"/>
          <w:lang w:val="en-US" w:eastAsia="zh-CN"/>
        </w:rPr>
        <w:t>五、</w:t>
      </w:r>
      <w:r>
        <w:rPr>
          <w:rFonts w:hint="default" w:ascii="宋体" w:eastAsia="宋体"/>
          <w:b/>
          <w:color w:val="auto"/>
          <w:kern w:val="2"/>
          <w:sz w:val="21"/>
        </w:rPr>
        <w:t>响应文件开启 </w:t>
      </w:r>
    </w:p>
    <w:p>
      <w:pPr>
        <w:pStyle w:val="20"/>
        <w:spacing w:before="0" w:beforeAutospacing="0" w:after="0" w:afterAutospacing="0" w:line="360" w:lineRule="auto"/>
        <w:ind w:firstLine="420" w:firstLineChars="200"/>
        <w:rPr>
          <w:rFonts w:hint="default" w:ascii="宋体" w:eastAsia="宋体"/>
          <w:color w:val="auto"/>
          <w:sz w:val="21"/>
        </w:rPr>
      </w:pPr>
      <w:r>
        <w:rPr>
          <w:rFonts w:hint="default" w:ascii="宋体" w:eastAsia="宋体"/>
          <w:color w:val="auto"/>
          <w:sz w:val="21"/>
        </w:rPr>
        <w:t>开启时间：</w:t>
      </w:r>
      <w:r>
        <w:rPr>
          <w:rFonts w:hint="default" w:eastAsia="宋体"/>
          <w:color w:val="0000FF"/>
          <w:kern w:val="0"/>
          <w:sz w:val="21"/>
          <w:lang w:val="en-US" w:eastAsia="zh-CN"/>
        </w:rPr>
        <w:t>2024年04月18日</w:t>
      </w:r>
      <w:r>
        <w:rPr>
          <w:rFonts w:hint="eastAsia" w:eastAsia="宋体"/>
          <w:color w:val="0000FF"/>
          <w:kern w:val="0"/>
          <w:sz w:val="21"/>
          <w:lang w:val="en-US" w:eastAsia="zh-CN"/>
        </w:rPr>
        <w:t>09:00</w:t>
      </w:r>
      <w:r>
        <w:rPr>
          <w:rFonts w:hint="default" w:ascii="宋体" w:eastAsia="宋体"/>
          <w:color w:val="auto"/>
          <w:sz w:val="21"/>
        </w:rPr>
        <w:t>（北京时间）</w:t>
      </w:r>
    </w:p>
    <w:p>
      <w:pPr>
        <w:pStyle w:val="20"/>
        <w:spacing w:before="0" w:beforeAutospacing="0" w:after="0" w:afterAutospacing="0" w:line="360" w:lineRule="auto"/>
        <w:ind w:firstLine="420" w:firstLineChars="200"/>
        <w:rPr>
          <w:rFonts w:hint="eastAsia" w:ascii="宋体" w:eastAsia="宋体"/>
          <w:color w:val="auto"/>
          <w:sz w:val="21"/>
          <w:lang w:eastAsia="zh-CN"/>
        </w:rPr>
      </w:pPr>
      <w:r>
        <w:rPr>
          <w:rFonts w:hint="default" w:ascii="宋体" w:eastAsia="宋体"/>
          <w:color w:val="auto"/>
          <w:sz w:val="21"/>
        </w:rPr>
        <w:t>地点（网址）：浙江省台州市仙居县仙居县环西南路32号4楼开标室-仙居成套招标</w:t>
      </w:r>
      <w:r>
        <w:rPr>
          <w:rFonts w:hint="eastAsia" w:eastAsia="宋体"/>
          <w:color w:val="auto"/>
          <w:sz w:val="21"/>
          <w:lang w:eastAsia="zh-CN"/>
        </w:rPr>
        <w:t>。</w:t>
      </w:r>
    </w:p>
    <w:p>
      <w:pPr>
        <w:pStyle w:val="20"/>
        <w:widowControl w:val="0"/>
        <w:numPr>
          <w:ilvl w:val="0"/>
          <w:numId w:val="0"/>
        </w:numPr>
        <w:spacing w:before="0" w:beforeAutospacing="0" w:after="0" w:afterAutospacing="0" w:line="360" w:lineRule="auto"/>
        <w:ind w:firstLine="422" w:firstLineChars="200"/>
        <w:jc w:val="both"/>
        <w:rPr>
          <w:rFonts w:hint="default" w:ascii="宋体" w:eastAsia="宋体"/>
          <w:b/>
          <w:color w:val="auto"/>
          <w:kern w:val="2"/>
          <w:sz w:val="21"/>
        </w:rPr>
      </w:pPr>
      <w:r>
        <w:rPr>
          <w:rFonts w:hint="eastAsia" w:eastAsia="宋体"/>
          <w:b/>
          <w:color w:val="auto"/>
          <w:kern w:val="2"/>
          <w:sz w:val="21"/>
          <w:lang w:val="en-US" w:eastAsia="zh-CN"/>
        </w:rPr>
        <w:t>六、</w:t>
      </w:r>
      <w:r>
        <w:rPr>
          <w:rFonts w:hint="default" w:ascii="宋体" w:eastAsia="宋体"/>
          <w:b/>
          <w:color w:val="auto"/>
          <w:kern w:val="2"/>
          <w:sz w:val="21"/>
        </w:rPr>
        <w:t>公告期限</w:t>
      </w:r>
    </w:p>
    <w:p>
      <w:pPr>
        <w:pStyle w:val="20"/>
        <w:spacing w:before="0" w:beforeAutospacing="0" w:after="0" w:afterAutospacing="0" w:line="360" w:lineRule="auto"/>
        <w:ind w:firstLine="420" w:firstLineChars="200"/>
        <w:rPr>
          <w:rFonts w:hint="default" w:ascii="宋体" w:eastAsia="宋体"/>
          <w:color w:val="auto"/>
          <w:sz w:val="21"/>
        </w:rPr>
      </w:pPr>
      <w:r>
        <w:rPr>
          <w:rFonts w:hint="default" w:ascii="宋体" w:eastAsia="宋体"/>
          <w:color w:val="auto"/>
          <w:sz w:val="21"/>
        </w:rPr>
        <w:t>自本公告发布之日起3个工作日。</w:t>
      </w:r>
    </w:p>
    <w:p>
      <w:pPr>
        <w:pStyle w:val="20"/>
        <w:widowControl w:val="0"/>
        <w:numPr>
          <w:ilvl w:val="0"/>
          <w:numId w:val="0"/>
        </w:numPr>
        <w:spacing w:before="0" w:beforeAutospacing="0" w:after="0" w:afterAutospacing="0" w:line="360" w:lineRule="auto"/>
        <w:ind w:firstLine="422" w:firstLineChars="200"/>
        <w:jc w:val="both"/>
        <w:rPr>
          <w:rFonts w:hint="default" w:ascii="宋体" w:eastAsia="宋体"/>
          <w:color w:val="auto"/>
          <w:sz w:val="21"/>
        </w:rPr>
      </w:pPr>
      <w:r>
        <w:rPr>
          <w:rFonts w:hint="eastAsia" w:eastAsia="宋体"/>
          <w:b/>
          <w:color w:val="auto"/>
          <w:kern w:val="2"/>
          <w:sz w:val="21"/>
          <w:lang w:val="en-US" w:eastAsia="zh-CN"/>
        </w:rPr>
        <w:t>七、</w:t>
      </w:r>
      <w:r>
        <w:rPr>
          <w:rFonts w:hint="default" w:ascii="宋体" w:eastAsia="宋体"/>
          <w:b/>
          <w:color w:val="auto"/>
          <w:kern w:val="2"/>
          <w:sz w:val="21"/>
        </w:rPr>
        <w:t>其他补充事宜</w:t>
      </w:r>
    </w:p>
    <w:p>
      <w:pPr>
        <w:keepNext w:val="0"/>
        <w:keepLines w:val="0"/>
        <w:pageBreakBefore w:val="0"/>
        <w:widowControl/>
        <w:kinsoku/>
        <w:wordWrap/>
        <w:overflowPunct/>
        <w:topLinePunct w:val="0"/>
        <w:autoSpaceDE/>
        <w:autoSpaceDN/>
        <w:bidi w:val="0"/>
        <w:spacing w:line="360" w:lineRule="exact"/>
        <w:ind w:right="60" w:firstLine="420" w:firstLineChars="200"/>
        <w:jc w:val="left"/>
        <w:textAlignment w:val="auto"/>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widowControl/>
        <w:kinsoku/>
        <w:wordWrap/>
        <w:overflowPunct/>
        <w:topLinePunct w:val="0"/>
        <w:autoSpaceDE/>
        <w:autoSpaceDN/>
        <w:bidi w:val="0"/>
        <w:spacing w:line="360" w:lineRule="exact"/>
        <w:ind w:right="60" w:firstLine="420" w:firstLineChars="200"/>
        <w:jc w:val="left"/>
        <w:textAlignment w:val="auto"/>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0"/>
        <w:numPr>
          <w:ilvl w:val="0"/>
          <w:numId w:val="0"/>
        </w:numPr>
        <w:spacing w:before="0" w:beforeAutospacing="0" w:after="0" w:afterAutospacing="0" w:line="360" w:lineRule="auto"/>
        <w:ind w:firstLine="420" w:firstLineChars="200"/>
        <w:rPr>
          <w:rFonts w:hint="default" w:ascii="宋体" w:eastAsia="宋体"/>
          <w:color w:val="auto"/>
          <w:sz w:val="21"/>
        </w:rPr>
      </w:pPr>
      <w:r>
        <w:rPr>
          <w:rFonts w:hint="eastAsia" w:eastAsia="宋体"/>
          <w:color w:val="auto"/>
          <w:sz w:val="21"/>
          <w:lang w:val="en-US" w:eastAsia="zh-CN"/>
        </w:rPr>
        <w:t>3</w:t>
      </w:r>
      <w:r>
        <w:rPr>
          <w:rFonts w:hint="default"/>
          <w:color w:val="auto"/>
          <w:sz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宋体" w:eastAsia="宋体"/>
          <w:color w:val="auto"/>
          <w:sz w:val="21"/>
        </w:rPr>
        <w:t xml:space="preserve"> </w:t>
      </w:r>
    </w:p>
    <w:p>
      <w:pPr>
        <w:widowControl/>
        <w:adjustRightInd w:val="0"/>
        <w:snapToGrid w:val="0"/>
        <w:spacing w:beforeLines="0" w:afterLines="0" w:line="360" w:lineRule="auto"/>
        <w:ind w:firstLine="422" w:firstLineChars="200"/>
        <w:jc w:val="left"/>
        <w:rPr>
          <w:rFonts w:hint="default" w:ascii="宋体" w:hAnsi="宋体" w:eastAsia="宋体"/>
          <w:color w:val="auto"/>
          <w:sz w:val="21"/>
        </w:rPr>
      </w:pPr>
      <w:r>
        <w:rPr>
          <w:rFonts w:hint="eastAsia" w:hAnsi="宋体" w:eastAsia="宋体"/>
          <w:b/>
          <w:kern w:val="0"/>
          <w:sz w:val="21"/>
          <w:lang w:val="en-US" w:eastAsia="zh-CN"/>
        </w:rPr>
        <w:t>4</w:t>
      </w:r>
      <w:r>
        <w:rPr>
          <w:rFonts w:hint="default" w:hAnsi="宋体"/>
          <w:b/>
          <w:kern w:val="0"/>
          <w:sz w:val="21"/>
        </w:rPr>
        <w:t>.其他事项</w:t>
      </w:r>
    </w:p>
    <w:p>
      <w:pPr>
        <w:pStyle w:val="20"/>
        <w:spacing w:before="0" w:beforeAutospacing="0" w:after="0" w:afterAutospacing="0" w:line="360" w:lineRule="auto"/>
        <w:ind w:firstLine="420" w:firstLineChars="200"/>
        <w:rPr>
          <w:rFonts w:hint="eastAsia" w:cs="宋体"/>
          <w:b/>
          <w:bCs/>
          <w:sz w:val="21"/>
          <w:szCs w:val="21"/>
        </w:rPr>
      </w:pPr>
      <w:r>
        <w:rPr>
          <w:rFonts w:cs="宋体"/>
          <w:b/>
          <w:bCs/>
          <w:sz w:val="21"/>
          <w:szCs w:val="21"/>
        </w:rPr>
        <w:t>1）</w:t>
      </w:r>
      <w:r>
        <w:rPr>
          <w:rFonts w:hint="eastAsia" w:cs="宋体"/>
          <w:b/>
          <w:bCs/>
          <w:sz w:val="21"/>
          <w:szCs w:val="21"/>
        </w:rPr>
        <w:t xml:space="preserve">磋商保证金：本项目不需要缴纳磋商保证金。 </w:t>
      </w:r>
    </w:p>
    <w:p>
      <w:pPr>
        <w:pStyle w:val="20"/>
        <w:spacing w:before="0" w:beforeAutospacing="0" w:after="0" w:afterAutospacing="0" w:line="360" w:lineRule="auto"/>
        <w:ind w:firstLine="422" w:firstLineChars="200"/>
        <w:rPr>
          <w:rFonts w:hint="default" w:cs="宋体"/>
          <w:b/>
          <w:bCs/>
          <w:sz w:val="21"/>
          <w:szCs w:val="21"/>
        </w:rPr>
      </w:pPr>
      <w:r>
        <w:rPr>
          <w:rFonts w:hint="eastAsia" w:eastAsia="宋体" w:cs="宋体"/>
          <w:b/>
          <w:bCs/>
          <w:sz w:val="21"/>
          <w:szCs w:val="21"/>
          <w:lang w:val="en-US" w:eastAsia="zh-CN"/>
        </w:rPr>
        <w:t>2）</w:t>
      </w:r>
      <w:r>
        <w:rPr>
          <w:rFonts w:cs="宋体"/>
          <w:b/>
          <w:bCs/>
          <w:sz w:val="21"/>
          <w:szCs w:val="21"/>
        </w:rPr>
        <w:t>采购项目需要落实的政府采购政策：</w:t>
      </w:r>
      <w:r>
        <w:rPr>
          <w:rFonts w:hint="eastAsia" w:eastAsia="宋体" w:cs="宋体"/>
          <w:b w:val="0"/>
          <w:bCs w:val="0"/>
          <w:color w:val="auto"/>
          <w:sz w:val="21"/>
          <w:szCs w:val="21"/>
          <w:highlight w:val="none"/>
          <w:lang w:val="en-US" w:eastAsia="zh-CN"/>
        </w:rPr>
        <w:t>①《政府采购促进中小企业发展管理办法》、《关于促进残疾人就业政府采购政策的通知》（财库〔2017〕141号）、《关于政府采购支持监狱企业发展有关问题的通知》。②政府采购金融服务：鼓励供应商开展政采贷、履约保函等政府采购金融服务，供应商以银行、保险公司、</w:t>
      </w:r>
      <w:r>
        <w:rPr>
          <w:rFonts w:hint="eastAsia" w:ascii="宋体" w:hAnsi="宋体" w:cs="宋体"/>
          <w:color w:val="000000"/>
          <w:kern w:val="0"/>
          <w:sz w:val="21"/>
          <w:szCs w:val="21"/>
          <w:lang w:val="en-US" w:eastAsia="zh-CN" w:bidi="ar-SA"/>
        </w:rPr>
        <w:t>融资担保公司</w:t>
      </w:r>
      <w:r>
        <w:rPr>
          <w:rFonts w:hint="eastAsia" w:eastAsia="宋体" w:cs="宋体"/>
          <w:b w:val="0"/>
          <w:bCs w:val="0"/>
          <w:color w:val="auto"/>
          <w:sz w:val="21"/>
          <w:szCs w:val="21"/>
          <w:highlight w:val="none"/>
          <w:lang w:val="en-US" w:eastAsia="zh-CN"/>
        </w:rPr>
        <w:t>出具保函形式提交履约保证金的，采购单位不得拒收</w:t>
      </w:r>
      <w:r>
        <w:rPr>
          <w:rFonts w:hint="default" w:ascii="宋体" w:eastAsia="宋体"/>
          <w:color w:val="auto"/>
          <w:sz w:val="21"/>
        </w:rPr>
        <w:t>。</w:t>
      </w:r>
    </w:p>
    <w:p>
      <w:pPr>
        <w:pStyle w:val="20"/>
        <w:spacing w:before="0" w:beforeAutospacing="0" w:after="0" w:afterAutospacing="0" w:line="360" w:lineRule="auto"/>
        <w:ind w:firstLine="422" w:firstLineChars="200"/>
        <w:rPr>
          <w:rFonts w:cs="宋体"/>
          <w:b/>
          <w:bCs/>
          <w:sz w:val="21"/>
          <w:szCs w:val="21"/>
        </w:rPr>
      </w:pPr>
      <w:r>
        <w:rPr>
          <w:rFonts w:hint="eastAsia" w:eastAsia="宋体" w:cs="宋体"/>
          <w:b/>
          <w:bCs/>
          <w:sz w:val="21"/>
          <w:szCs w:val="21"/>
          <w:lang w:val="en-US" w:eastAsia="zh-CN"/>
        </w:rPr>
        <w:t>3</w:t>
      </w:r>
      <w:r>
        <w:rPr>
          <w:rFonts w:cs="宋体"/>
          <w:b/>
          <w:bCs/>
          <w:sz w:val="21"/>
          <w:szCs w:val="21"/>
        </w:rPr>
        <w:t>）在线响应（电子交易）说明</w:t>
      </w:r>
    </w:p>
    <w:p>
      <w:pPr>
        <w:widowControl/>
        <w:adjustRightInd w:val="0"/>
        <w:snapToGrid w:val="0"/>
        <w:spacing w:line="360" w:lineRule="auto"/>
        <w:ind w:firstLine="420" w:firstLineChars="200"/>
        <w:jc w:val="left"/>
        <w:rPr>
          <w:rFonts w:hint="eastAsia"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.1本项目采用政府采购电子化交易。</w:t>
      </w:r>
    </w:p>
    <w:p>
      <w:pPr>
        <w:widowControl/>
        <w:adjustRightInd w:val="0"/>
        <w:snapToGrid w:val="0"/>
        <w:spacing w:line="360" w:lineRule="auto"/>
        <w:ind w:firstLine="420" w:firstLineChars="200"/>
        <w:jc w:val="left"/>
        <w:rPr>
          <w:rFonts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2为确保网上操作合法、有效和安全，供应商应当在投标截止时间前，完成电子交易平台上的CA数字证书办理（办理流程详见http://zfcg.czt.zj.gov.cn/bidClientTemplate/2019-05-27/12945.html）。完成CA数字证书办理时间预计一周左右，建议各供应商抓紧办理。</w:t>
      </w:r>
    </w:p>
    <w:p>
      <w:pPr>
        <w:widowControl/>
        <w:adjustRightInd w:val="0"/>
        <w:snapToGrid w:val="0"/>
        <w:spacing w:line="360" w:lineRule="auto"/>
        <w:ind w:firstLine="420" w:firstLineChars="200"/>
        <w:jc w:val="left"/>
        <w:rPr>
          <w:rFonts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.3</w:t>
      </w:r>
      <w:r>
        <w:rPr>
          <w:rFonts w:ascii="Arial" w:hAnsi="Arial" w:cs="Arial"/>
          <w:sz w:val="21"/>
          <w:szCs w:val="21"/>
        </w:rPr>
        <w:t>投标人应安装“政采云投标客户端”，电子投标工具请投标人自行前往浙江政府采购网下载并安装，（下载网址：http://zfcg.czt.zj.gov.cn/bidClientTemplate/2019-09-24/12975.html）。</w:t>
      </w:r>
    </w:p>
    <w:p>
      <w:pPr>
        <w:widowControl/>
        <w:adjustRightInd w:val="0"/>
        <w:snapToGrid w:val="0"/>
        <w:spacing w:line="360" w:lineRule="auto"/>
        <w:ind w:firstLine="420" w:firstLineChars="200"/>
        <w:jc w:val="left"/>
        <w:rPr>
          <w:rFonts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.4</w:t>
      </w:r>
      <w:r>
        <w:rPr>
          <w:rFonts w:ascii="Arial" w:hAnsi="Arial" w:cs="Arial"/>
          <w:sz w:val="21"/>
          <w:szCs w:val="21"/>
        </w:rPr>
        <w:t>电子交易具体流程详见操作指南：登录政府采购云平台（https://www.zcygov.cn/），从首页-服务中心-帮助文档-项目采购-电子招投标，查看文档和视频。</w:t>
      </w:r>
    </w:p>
    <w:p>
      <w:pPr>
        <w:widowControl/>
        <w:adjustRightInd w:val="0"/>
        <w:snapToGrid w:val="0"/>
        <w:spacing w:line="360" w:lineRule="auto"/>
        <w:ind w:firstLine="420" w:firstLineChars="200"/>
        <w:jc w:val="left"/>
        <w:rPr>
          <w:rFonts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.5</w:t>
      </w:r>
      <w:r>
        <w:rPr>
          <w:rFonts w:ascii="Arial" w:hAnsi="Arial" w:cs="Arial"/>
          <w:sz w:val="21"/>
          <w:szCs w:val="21"/>
        </w:rPr>
        <w:t>如有疑问，可致电政府采购云平台技术支持热线咨询，联系方式：400-881-7190。</w:t>
      </w:r>
    </w:p>
    <w:p>
      <w:pPr>
        <w:widowControl/>
        <w:adjustRightInd w:val="0"/>
        <w:snapToGrid w:val="0"/>
        <w:spacing w:line="360" w:lineRule="auto"/>
        <w:ind w:firstLine="420" w:firstLineChars="200"/>
        <w:jc w:val="left"/>
        <w:rPr>
          <w:rFonts w:hint="eastAsia" w:ascii="Arial" w:hAnsi="Arial" w:cs="Arial"/>
          <w:sz w:val="21"/>
          <w:szCs w:val="21"/>
        </w:rPr>
      </w:pPr>
      <w:r>
        <w:rPr>
          <w:rFonts w:hint="eastAsia" w:ascii="Arial" w:hAnsi="Arial" w:eastAsia="宋体" w:cs="Arial"/>
          <w:sz w:val="21"/>
          <w:szCs w:val="21"/>
          <w:lang w:val="en-US" w:eastAsia="zh-CN"/>
        </w:rPr>
        <w:t>3</w:t>
      </w:r>
      <w:r>
        <w:rPr>
          <w:rFonts w:hint="eastAsia" w:ascii="Arial" w:hAnsi="Arial" w:cs="Arial"/>
          <w:sz w:val="21"/>
          <w:szCs w:val="21"/>
        </w:rPr>
        <w:t>.6</w:t>
      </w:r>
      <w:r>
        <w:rPr>
          <w:rFonts w:hint="eastAsia" w:ascii="宋体" w:hAnsi="宋体" w:cs="宋体"/>
          <w:kern w:val="0"/>
          <w:sz w:val="21"/>
          <w:szCs w:val="21"/>
        </w:rPr>
        <w:t>供应商应当在磋商响应截止时间前完成“电子加密响应文件”的在线提交，磋商响应截止时间前可以补充、修改或者撤回电子加密响应文件。补充或者修改电子加密响应文件的，应当先行撤回原文件</w:t>
      </w:r>
      <w:r>
        <w:rPr>
          <w:rFonts w:hint="eastAsia" w:ascii="Arial" w:hAnsi="Arial" w:cs="Arial"/>
          <w:sz w:val="21"/>
          <w:szCs w:val="21"/>
        </w:rPr>
        <w:t>，补充、修改后重新上传提交。磋商响应截止时间前未完成提交的，视为撤回响应文件。逾期递交的电子加密响应文件，将被政采云平台拒收。</w:t>
      </w:r>
    </w:p>
    <w:p>
      <w:pPr>
        <w:widowControl/>
        <w:adjustRightInd w:val="0"/>
        <w:snapToGrid w:val="0"/>
        <w:spacing w:beforeLines="0" w:afterLines="0" w:line="360" w:lineRule="auto"/>
        <w:ind w:firstLine="420" w:firstLineChars="200"/>
        <w:jc w:val="left"/>
        <w:rPr>
          <w:rFonts w:hint="default" w:ascii="Arial" w:hAnsi="Arial"/>
          <w:sz w:val="21"/>
        </w:rPr>
      </w:pPr>
      <w:r>
        <w:rPr>
          <w:rFonts w:hint="eastAsia" w:ascii="Arial" w:hAnsi="Arial" w:eastAsia="宋体" w:cs="Arial"/>
          <w:sz w:val="21"/>
          <w:szCs w:val="21"/>
          <w:lang w:val="en-US" w:eastAsia="zh-CN"/>
        </w:rPr>
        <w:t>4</w:t>
      </w:r>
      <w:r>
        <w:rPr>
          <w:rFonts w:hint="eastAsia" w:ascii="Arial" w:hAnsi="Arial" w:cs="Arial"/>
          <w:sz w:val="21"/>
          <w:szCs w:val="21"/>
        </w:rPr>
        <w:t>）</w:t>
      </w:r>
      <w:r>
        <w:rPr>
          <w:rFonts w:hint="default" w:hAnsi="Arial"/>
          <w:sz w:val="21"/>
        </w:rPr>
        <w:t>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pPr>
        <w:widowControl/>
        <w:adjustRightInd w:val="0"/>
        <w:snapToGrid w:val="0"/>
        <w:spacing w:line="360" w:lineRule="auto"/>
        <w:ind w:firstLine="420" w:firstLineChars="200"/>
        <w:jc w:val="left"/>
        <w:rPr>
          <w:rFonts w:hint="eastAsia" w:ascii="Arial" w:hAnsi="Arial" w:cs="Arial"/>
          <w:color w:val="auto"/>
          <w:sz w:val="21"/>
          <w:szCs w:val="21"/>
        </w:rPr>
      </w:pPr>
      <w:r>
        <w:rPr>
          <w:rFonts w:hint="eastAsia" w:ascii="Arial" w:hAnsi="Arial" w:cs="Arial"/>
          <w:color w:val="auto"/>
          <w:sz w:val="21"/>
          <w:szCs w:val="21"/>
          <w:lang w:val="en-US" w:eastAsia="zh-CN"/>
        </w:rPr>
        <w:t>5</w:t>
      </w:r>
      <w:r>
        <w:rPr>
          <w:rFonts w:hint="eastAsia" w:ascii="Arial" w:hAnsi="Arial" w:cs="Arial"/>
          <w:color w:val="auto"/>
          <w:sz w:val="21"/>
          <w:szCs w:val="21"/>
        </w:rPr>
        <w:t>）本项目所有公告发布网站：“浙江政府采购网”（http://www.zjzfcg.gov.cn）和“仙居县公共资源交易</w:t>
      </w:r>
      <w:r>
        <w:rPr>
          <w:rFonts w:hint="eastAsia" w:ascii="Arial" w:hAnsi="Arial" w:cs="Arial"/>
          <w:color w:val="auto"/>
          <w:sz w:val="21"/>
          <w:szCs w:val="21"/>
          <w:lang w:val="en-US" w:eastAsia="zh-CN"/>
        </w:rPr>
        <w:t>网</w:t>
      </w:r>
      <w:r>
        <w:rPr>
          <w:rFonts w:hint="eastAsia" w:ascii="Arial" w:hAnsi="Arial" w:cs="Arial"/>
          <w:color w:val="auto"/>
          <w:sz w:val="21"/>
          <w:szCs w:val="21"/>
        </w:rPr>
        <w:t>”</w:t>
      </w:r>
      <w:r>
        <w:rPr>
          <w:rFonts w:hint="eastAsia" w:ascii="Arial" w:hAnsi="Arial" w:cs="Arial"/>
          <w:color w:val="auto"/>
          <w:sz w:val="21"/>
          <w:szCs w:val="21"/>
          <w:u w:val="single"/>
        </w:rPr>
        <w:t xml:space="preserve">（ </w:t>
      </w:r>
      <w:r>
        <w:rPr>
          <w:rFonts w:hint="eastAsia" w:ascii="Arial" w:hAnsi="Arial" w:cs="Arial"/>
          <w:color w:val="auto"/>
          <w:sz w:val="21"/>
          <w:szCs w:val="21"/>
          <w:u w:val="single"/>
        </w:rPr>
        <w:fldChar w:fldCharType="begin"/>
      </w:r>
      <w:r>
        <w:rPr>
          <w:rFonts w:hint="eastAsia" w:ascii="Arial" w:hAnsi="Arial" w:cs="Arial"/>
          <w:color w:val="auto"/>
          <w:sz w:val="21"/>
          <w:szCs w:val="21"/>
          <w:u w:val="single"/>
        </w:rPr>
        <w:instrText xml:space="preserve"> HYPERLINK "http://www.xjztb.cn）。项目如有更正或澄清公告，请各供应商自行及时登陆上述网站查看，采购代理机构不再作出书面通知。" </w:instrText>
      </w:r>
      <w:r>
        <w:rPr>
          <w:rFonts w:hint="eastAsia" w:ascii="Arial" w:hAnsi="Arial" w:cs="Arial"/>
          <w:color w:val="auto"/>
          <w:sz w:val="21"/>
          <w:szCs w:val="21"/>
          <w:u w:val="single"/>
        </w:rPr>
        <w:fldChar w:fldCharType="separate"/>
      </w:r>
      <w:r>
        <w:rPr>
          <w:rFonts w:hint="eastAsia" w:ascii="Arial" w:hAnsi="Arial" w:cs="Arial"/>
          <w:color w:val="auto"/>
          <w:sz w:val="21"/>
          <w:szCs w:val="21"/>
          <w:u w:val="single"/>
        </w:rPr>
        <w:t>http://www.zjxj.gov.cn/col/col1229347447/index.html）。项目如有更正或澄清公告，请各供应商自行及时登</w:t>
      </w:r>
      <w:r>
        <w:rPr>
          <w:rFonts w:hint="eastAsia" w:ascii="Arial" w:hAnsi="Arial" w:eastAsia="宋体" w:cs="Arial"/>
          <w:color w:val="auto"/>
          <w:sz w:val="21"/>
          <w:szCs w:val="21"/>
          <w:u w:val="single"/>
          <w:lang w:val="en-US" w:eastAsia="zh-CN"/>
        </w:rPr>
        <w:t>录</w:t>
      </w:r>
      <w:r>
        <w:rPr>
          <w:rFonts w:hint="eastAsia" w:ascii="Arial" w:hAnsi="Arial" w:cs="Arial"/>
          <w:color w:val="auto"/>
          <w:sz w:val="21"/>
          <w:szCs w:val="21"/>
          <w:u w:val="single"/>
        </w:rPr>
        <w:t>上述网站查看，采购代理机构不再作出书面通知。</w:t>
      </w:r>
      <w:r>
        <w:rPr>
          <w:rFonts w:hint="eastAsia" w:ascii="Arial" w:hAnsi="Arial" w:cs="Arial"/>
          <w:color w:val="auto"/>
          <w:sz w:val="21"/>
          <w:szCs w:val="21"/>
          <w:u w:val="single"/>
        </w:rPr>
        <w:fldChar w:fldCharType="end"/>
      </w:r>
    </w:p>
    <w:p>
      <w:pPr>
        <w:keepNext w:val="0"/>
        <w:keepLines w:val="0"/>
        <w:pageBreakBefore w:val="0"/>
        <w:widowControl/>
        <w:kinsoku/>
        <w:wordWrap/>
        <w:overflowPunct/>
        <w:topLinePunct w:val="0"/>
        <w:autoSpaceDE/>
        <w:autoSpaceDN/>
        <w:bidi w:val="0"/>
        <w:spacing w:line="400" w:lineRule="exact"/>
        <w:ind w:right="60" w:firstLine="420" w:firstLineChars="200"/>
        <w:jc w:val="left"/>
        <w:textAlignment w:val="auto"/>
        <w:rPr>
          <w:rFonts w:hint="eastAsia"/>
          <w:lang w:val="en-US" w:eastAsia="zh-CN"/>
        </w:rPr>
      </w:pPr>
      <w:r>
        <w:rPr>
          <w:rFonts w:hint="eastAsia" w:ascii="Arial" w:hAnsi="Arial" w:cs="Arial"/>
          <w:sz w:val="21"/>
          <w:szCs w:val="21"/>
          <w:lang w:val="en-US" w:eastAsia="zh-CN"/>
        </w:rPr>
        <w:t>6</w:t>
      </w:r>
      <w:r>
        <w:rPr>
          <w:rFonts w:hint="eastAsia" w:ascii="Arial" w:hAnsi="Arial" w:cs="Arial"/>
          <w:sz w:val="21"/>
          <w:szCs w:val="21"/>
        </w:rPr>
        <w:t>）中标结果公告发出后，采购监管部门如发现供应商出现投标硬件异常的，若查证后存在违法事实的，将取消该供应商的中标资格，剩余供应商达3家及以上的，由采购人决定是否按中标顺位替补；不足3家的，该项目作废标处理。</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对本次</w:t>
      </w:r>
      <w:r>
        <w:rPr>
          <w:rFonts w:hint="eastAsia" w:ascii="宋体" w:hAnsi="宋体" w:eastAsia="宋体" w:cs="宋体"/>
          <w:b/>
          <w:color w:val="auto"/>
          <w:kern w:val="2"/>
          <w:sz w:val="21"/>
          <w:szCs w:val="21"/>
          <w:highlight w:val="none"/>
          <w:lang w:eastAsia="zh-CN" w:bidi="ar"/>
        </w:rPr>
        <w:t>采购</w:t>
      </w:r>
      <w:r>
        <w:rPr>
          <w:rFonts w:hint="eastAsia" w:ascii="宋体" w:hAnsi="宋体" w:eastAsia="宋体" w:cs="宋体"/>
          <w:b/>
          <w:color w:val="auto"/>
          <w:kern w:val="2"/>
          <w:sz w:val="21"/>
          <w:szCs w:val="21"/>
          <w:highlight w:val="none"/>
          <w:lang w:bidi="ar"/>
        </w:rPr>
        <w:t>提出询问、质疑、投诉，请按以下方式联系</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none"/>
          <w:lang w:eastAsia="zh-CN"/>
        </w:rPr>
        <w:t>名称：</w:t>
      </w:r>
      <w:r>
        <w:rPr>
          <w:rFonts w:hint="eastAsia" w:ascii="宋体" w:hAnsi="宋体" w:eastAsia="宋体" w:cs="宋体"/>
          <w:color w:val="auto"/>
          <w:sz w:val="21"/>
          <w:szCs w:val="21"/>
          <w:highlight w:val="none"/>
          <w:u w:val="single"/>
          <w:lang w:eastAsia="zh-CN"/>
        </w:rPr>
        <w:t>仙居县交通运输局</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none"/>
          <w:lang w:eastAsia="zh-CN"/>
        </w:rPr>
        <w:t>地址：</w:t>
      </w:r>
      <w:r>
        <w:rPr>
          <w:rFonts w:hint="eastAsia" w:ascii="宋体" w:hAnsi="宋体" w:eastAsia="宋体" w:cs="宋体"/>
          <w:color w:val="auto"/>
          <w:sz w:val="21"/>
          <w:szCs w:val="21"/>
          <w:highlight w:val="none"/>
          <w:u w:val="single"/>
          <w:lang w:eastAsia="zh-CN"/>
        </w:rPr>
        <w:t>仙居县安洲街道石卡村路北路173号</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none"/>
          <w:lang w:eastAsia="zh-CN"/>
        </w:rPr>
        <w:t>项目联系人（询问）：</w:t>
      </w:r>
      <w:r>
        <w:rPr>
          <w:rFonts w:hint="eastAsia" w:ascii="宋体" w:hAnsi="宋体" w:eastAsia="宋体" w:cs="宋体"/>
          <w:color w:val="auto"/>
          <w:sz w:val="21"/>
          <w:szCs w:val="21"/>
          <w:highlight w:val="none"/>
          <w:u w:val="single"/>
          <w:lang w:eastAsia="zh-CN"/>
        </w:rPr>
        <w:t xml:space="preserve"> 王锟</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none"/>
          <w:lang w:eastAsia="zh-CN"/>
        </w:rPr>
        <w:t>项目联系方式（询问）：</w:t>
      </w:r>
      <w:r>
        <w:rPr>
          <w:rFonts w:hint="eastAsia" w:ascii="宋体" w:hAnsi="宋体" w:eastAsia="宋体" w:cs="宋体"/>
          <w:color w:val="auto"/>
          <w:sz w:val="21"/>
          <w:szCs w:val="21"/>
          <w:highlight w:val="none"/>
          <w:u w:val="single"/>
          <w:lang w:eastAsia="zh-CN"/>
        </w:rPr>
        <w:t>0576-877203329</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eastAsia="zh-CN"/>
        </w:rPr>
        <w:t>质疑联系人：</w:t>
      </w:r>
      <w:r>
        <w:rPr>
          <w:rFonts w:hint="eastAsia" w:ascii="宋体" w:hAnsi="宋体" w:eastAsia="宋体" w:cs="宋体"/>
          <w:color w:val="auto"/>
          <w:sz w:val="21"/>
          <w:szCs w:val="21"/>
          <w:highlight w:val="none"/>
          <w:u w:val="single"/>
          <w:lang w:val="en-US" w:eastAsia="zh-CN"/>
        </w:rPr>
        <w:t xml:space="preserve"> 陈卫青</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lang w:eastAsia="zh-CN"/>
        </w:rPr>
        <w:t>质疑联系方式：</w:t>
      </w:r>
      <w:r>
        <w:rPr>
          <w:rFonts w:hint="eastAsia" w:ascii="宋体" w:hAnsi="宋体" w:eastAsia="宋体" w:cs="宋体"/>
          <w:color w:val="auto"/>
          <w:sz w:val="21"/>
          <w:szCs w:val="21"/>
          <w:highlight w:val="none"/>
          <w:u w:val="single"/>
          <w:lang w:eastAsia="zh-CN"/>
        </w:rPr>
        <w:t>0576-87720330</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eastAsia="zh-CN"/>
        </w:rPr>
        <w:t>浙江省成套招标代理有公司</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eastAsia="zh-CN"/>
        </w:rPr>
        <w:t>仙居县环西南路32号4楼</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val="en-US" w:eastAsia="zh-CN"/>
        </w:rPr>
        <w:t>娄聪聪</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项目联系方式（询问）：</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val="en-US" w:eastAsia="zh-CN"/>
        </w:rPr>
        <w:t>13967637946</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tabs>
          <w:tab w:val="left" w:pos="6307"/>
        </w:tabs>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质疑联系人：</w:t>
      </w:r>
      <w:r>
        <w:rPr>
          <w:rFonts w:hint="eastAsia" w:eastAsia="宋体" w:cs="宋体"/>
          <w:color w:val="auto"/>
          <w:sz w:val="21"/>
          <w:szCs w:val="21"/>
          <w:highlight w:val="none"/>
          <w:u w:val="single"/>
          <w:lang w:val="en-US" w:eastAsia="zh-CN"/>
        </w:rPr>
        <w:t>方璐瑶</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质疑联系方式：</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0576-87771258</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3.同级政府采购监督管理部门</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仙居县财政局政府采购监管</w:t>
      </w:r>
      <w:r>
        <w:rPr>
          <w:rFonts w:hint="eastAsia" w:eastAsia="宋体" w:cs="宋体"/>
          <w:color w:val="auto"/>
          <w:sz w:val="21"/>
          <w:szCs w:val="21"/>
          <w:highlight w:val="none"/>
          <w:u w:val="single"/>
          <w:lang w:val="en-US" w:eastAsia="zh-CN"/>
        </w:rPr>
        <w:t>科</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仙居县南峰街道环城南路500号7楼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r>
        <w:rPr>
          <w:rFonts w:hint="eastAsia" w:eastAsia="宋体" w:cs="宋体"/>
          <w:color w:val="auto"/>
          <w:sz w:val="21"/>
          <w:szCs w:val="21"/>
          <w:highlight w:val="none"/>
          <w:u w:val="single"/>
          <w:lang w:val="en-US" w:eastAsia="zh-CN"/>
        </w:rPr>
        <w:t>陈女士</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监督投诉电话：</w:t>
      </w:r>
      <w:r>
        <w:rPr>
          <w:rFonts w:hint="eastAsia" w:ascii="宋体" w:hAnsi="宋体" w:eastAsia="宋体" w:cs="宋体"/>
          <w:color w:val="auto"/>
          <w:sz w:val="21"/>
          <w:szCs w:val="21"/>
          <w:highlight w:val="none"/>
          <w:u w:val="single"/>
        </w:rPr>
        <w:t>0576-87720209</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传真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0576-87720209</w:t>
      </w:r>
    </w:p>
    <w:p>
      <w:pPr>
        <w:keepNext w:val="0"/>
        <w:keepLines w:val="0"/>
        <w:pageBreakBefore w:val="0"/>
        <w:kinsoku/>
        <w:wordWrap/>
        <w:overflowPunct/>
        <w:topLinePunct w:val="0"/>
        <w:bidi w:val="0"/>
        <w:spacing w:line="360" w:lineRule="exact"/>
        <w:ind w:right="480"/>
        <w:jc w:val="both"/>
        <w:textAlignment w:val="auto"/>
        <w:rPr>
          <w:rFonts w:hint="eastAsia" w:ascii="宋体" w:hAnsi="宋体" w:eastAsia="宋体" w:cs="宋体"/>
          <w:color w:val="auto"/>
          <w:kern w:val="0"/>
          <w:sz w:val="21"/>
          <w:szCs w:val="21"/>
        </w:rPr>
      </w:pPr>
    </w:p>
    <w:p>
      <w:pPr>
        <w:keepNext w:val="0"/>
        <w:keepLines w:val="0"/>
        <w:pageBreakBefore w:val="0"/>
        <w:kinsoku/>
        <w:wordWrap/>
        <w:overflowPunct/>
        <w:topLinePunct w:val="0"/>
        <w:bidi w:val="0"/>
        <w:spacing w:line="360" w:lineRule="exact"/>
        <w:ind w:right="480" w:firstLine="4410" w:firstLineChars="2100"/>
        <w:jc w:val="righ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浙江省成套招标代理有限公司</w:t>
      </w:r>
    </w:p>
    <w:p>
      <w:pPr>
        <w:keepNext w:val="0"/>
        <w:keepLines w:val="0"/>
        <w:pageBreakBefore w:val="0"/>
        <w:widowControl/>
        <w:kinsoku/>
        <w:wordWrap/>
        <w:overflowPunct/>
        <w:topLinePunct w:val="0"/>
        <w:bidi w:val="0"/>
        <w:spacing w:before="60" w:after="60" w:line="360" w:lineRule="exact"/>
        <w:ind w:left="60" w:right="60" w:firstLine="540"/>
        <w:jc w:val="center"/>
        <w:textAlignment w:val="auto"/>
        <w:rPr>
          <w:rFonts w:hint="eastAsia"/>
          <w:b/>
          <w:color w:val="auto"/>
          <w:sz w:val="32"/>
          <w:szCs w:val="32"/>
        </w:rPr>
      </w:pP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olor w:val="0000FF"/>
          <w:kern w:val="0"/>
          <w:sz w:val="21"/>
          <w:lang w:eastAsia="zh-CN"/>
        </w:rPr>
        <w:t>202</w:t>
      </w:r>
      <w:r>
        <w:rPr>
          <w:rFonts w:hint="eastAsia" w:ascii="宋体" w:hAnsi="宋体" w:eastAsia="宋体"/>
          <w:color w:val="0000FF"/>
          <w:kern w:val="0"/>
          <w:sz w:val="21"/>
          <w:lang w:val="en-US" w:eastAsia="zh-CN"/>
        </w:rPr>
        <w:t>4</w:t>
      </w:r>
      <w:r>
        <w:rPr>
          <w:rFonts w:hint="eastAsia" w:ascii="宋体" w:hAnsi="宋体" w:eastAsia="宋体"/>
          <w:color w:val="0000FF"/>
          <w:kern w:val="0"/>
          <w:sz w:val="21"/>
          <w:lang w:eastAsia="zh-CN"/>
        </w:rPr>
        <w:t>年</w:t>
      </w:r>
      <w:r>
        <w:rPr>
          <w:rFonts w:hint="eastAsia" w:ascii="宋体" w:hAnsi="宋体" w:eastAsia="宋体"/>
          <w:color w:val="0000FF"/>
          <w:kern w:val="0"/>
          <w:sz w:val="21"/>
          <w:lang w:val="en-US" w:eastAsia="zh-CN"/>
        </w:rPr>
        <w:t>04</w:t>
      </w:r>
      <w:r>
        <w:rPr>
          <w:rFonts w:hint="eastAsia" w:ascii="宋体" w:hAnsi="宋体" w:eastAsia="宋体"/>
          <w:color w:val="0000FF"/>
          <w:kern w:val="0"/>
          <w:sz w:val="21"/>
          <w:lang w:eastAsia="zh-CN"/>
        </w:rPr>
        <w:t>月</w:t>
      </w:r>
      <w:r>
        <w:rPr>
          <w:rFonts w:hint="eastAsia" w:ascii="宋体" w:hAnsi="宋体" w:eastAsia="宋体"/>
          <w:color w:val="0000FF"/>
          <w:kern w:val="0"/>
          <w:sz w:val="21"/>
          <w:lang w:val="en-US" w:eastAsia="zh-CN"/>
        </w:rPr>
        <w:t>07</w:t>
      </w:r>
      <w:r>
        <w:rPr>
          <w:rFonts w:hint="eastAsia" w:ascii="宋体" w:hAnsi="宋体" w:eastAsia="宋体"/>
          <w:color w:val="0000FF"/>
          <w:kern w:val="0"/>
          <w:sz w:val="21"/>
          <w:lang w:eastAsia="zh-CN"/>
        </w:rPr>
        <w:t>日</w:t>
      </w:r>
    </w:p>
    <w:bookmarkEnd w:id="26"/>
    <w:p>
      <w:pPr>
        <w:autoSpaceDE w:val="0"/>
        <w:autoSpaceDN w:val="0"/>
        <w:adjustRightInd w:val="0"/>
        <w:spacing w:line="360" w:lineRule="auto"/>
        <w:jc w:val="center"/>
        <w:outlineLvl w:val="0"/>
        <w:rPr>
          <w:rFonts w:hint="eastAsia"/>
          <w:b/>
          <w:color w:val="auto"/>
          <w:sz w:val="32"/>
          <w:szCs w:val="32"/>
        </w:rPr>
      </w:pPr>
      <w:bookmarkStart w:id="28" w:name="_Toc306901444"/>
      <w:r>
        <w:rPr>
          <w:rFonts w:hint="eastAsia"/>
          <w:b/>
          <w:color w:val="auto"/>
          <w:sz w:val="32"/>
          <w:szCs w:val="32"/>
        </w:rPr>
        <w:t>第二部分</w:t>
      </w:r>
      <w:r>
        <w:rPr>
          <w:b/>
          <w:color w:val="auto"/>
          <w:sz w:val="32"/>
          <w:szCs w:val="32"/>
        </w:rPr>
        <w:t xml:space="preserve"> </w:t>
      </w:r>
      <w:r>
        <w:rPr>
          <w:rFonts w:hint="eastAsia"/>
          <w:b/>
          <w:color w:val="auto"/>
          <w:sz w:val="32"/>
          <w:szCs w:val="32"/>
        </w:rPr>
        <w:t>采购需求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bCs w:val="0"/>
          <w:kern w:val="0"/>
          <w:sz w:val="21"/>
          <w:szCs w:val="21"/>
          <w:lang w:val="en-US" w:eastAsia="zh-CN" w:bidi="ar-SA"/>
        </w:rPr>
      </w:pPr>
      <w:r>
        <w:rPr>
          <w:rFonts w:hint="eastAsia" w:ascii="宋体" w:hAnsi="宋体" w:eastAsia="宋体" w:cs="宋体"/>
          <w:b/>
          <w:bCs w:val="0"/>
          <w:kern w:val="0"/>
          <w:sz w:val="21"/>
          <w:szCs w:val="21"/>
          <w:lang w:val="en-US" w:eastAsia="zh-CN" w:bidi="ar-SA"/>
        </w:rPr>
        <w:t>特别提醒：</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宋体" w:hAnsi="宋体" w:eastAsia="宋体" w:cs="宋体"/>
          <w:b/>
          <w:bCs w:val="0"/>
          <w:kern w:val="0"/>
          <w:sz w:val="21"/>
          <w:szCs w:val="21"/>
          <w:lang w:val="en-US" w:eastAsia="zh-CN" w:bidi="ar-SA"/>
        </w:rPr>
      </w:pPr>
      <w:r>
        <w:rPr>
          <w:rFonts w:hint="eastAsia" w:ascii="宋体" w:hAnsi="宋体" w:eastAsia="宋体" w:cs="宋体"/>
          <w:b/>
          <w:bCs w:val="0"/>
          <w:kern w:val="0"/>
          <w:sz w:val="21"/>
          <w:szCs w:val="21"/>
          <w:lang w:val="en-US" w:eastAsia="zh-CN" w:bidi="ar-SA"/>
        </w:rPr>
        <w:t>▲1、承包人在签订合同时，若坚持提出附加条件和不合理要求，成交资格将被取消，该承包人对由此产生的一切后果负责。</w:t>
      </w:r>
    </w:p>
    <w:p>
      <w:pPr>
        <w:pStyle w:val="10"/>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宋体" w:hAnsi="宋体" w:eastAsia="宋体" w:cs="宋体"/>
          <w:b/>
          <w:bCs w:val="0"/>
          <w:kern w:val="0"/>
          <w:sz w:val="21"/>
          <w:szCs w:val="21"/>
          <w:lang w:val="en-US" w:eastAsia="zh-CN" w:bidi="ar-SA"/>
        </w:rPr>
      </w:pPr>
      <w:r>
        <w:rPr>
          <w:rFonts w:hint="eastAsia" w:ascii="宋体" w:hAnsi="宋体" w:eastAsia="宋体" w:cs="宋体"/>
          <w:b/>
          <w:bCs w:val="0"/>
          <w:kern w:val="0"/>
          <w:sz w:val="21"/>
          <w:szCs w:val="21"/>
          <w:lang w:val="en-US" w:eastAsia="zh-CN" w:bidi="ar-SA"/>
        </w:rPr>
        <w:t>▲2、加“▲”的技术要求或商务要求为实质性要求，投标人应特别注意，所提供的技术响应必须完全满足或优于这些要求，否则视为不满足。不满足实质性要求的投标文件将按无效标处理。</w:t>
      </w:r>
    </w:p>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spacing w:before="156" w:beforeLines="50" w:after="156" w:afterLines="50" w:line="240" w:lineRule="exact"/>
        <w:ind w:right="23" w:right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一</w:t>
      </w:r>
      <w:r>
        <w:rPr>
          <w:rFonts w:hint="eastAsia" w:ascii="宋体" w:hAnsi="宋体" w:eastAsia="宋体" w:cs="宋体"/>
          <w:b/>
          <w:color w:val="auto"/>
          <w:sz w:val="21"/>
          <w:szCs w:val="21"/>
          <w:highlight w:val="none"/>
        </w:rPr>
        <w:t>、招标项目一览表</w:t>
      </w:r>
    </w:p>
    <w:p>
      <w:pPr>
        <w:keepNext w:val="0"/>
        <w:keepLines w:val="0"/>
        <w:pageBreakBefore w:val="0"/>
        <w:widowControl w:val="0"/>
        <w:tabs>
          <w:tab w:val="left" w:pos="8280"/>
        </w:tabs>
        <w:kinsoku/>
        <w:wordWrap/>
        <w:overflowPunct/>
        <w:topLinePunct w:val="0"/>
        <w:autoSpaceDE w:val="0"/>
        <w:autoSpaceDN w:val="0"/>
        <w:bidi w:val="0"/>
        <w:adjustRightInd w:val="0"/>
        <w:snapToGrid/>
        <w:spacing w:after="157" w:afterLines="50" w:line="240" w:lineRule="exact"/>
        <w:ind w:right="23"/>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本次招标共1个标项，具体内容如下表：</w:t>
      </w:r>
    </w:p>
    <w:tbl>
      <w:tblPr>
        <w:tblStyle w:val="24"/>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600"/>
        <w:gridCol w:w="876"/>
        <w:gridCol w:w="908"/>
        <w:gridCol w:w="1254"/>
        <w:gridCol w:w="1383"/>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23"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标项</w:t>
            </w:r>
          </w:p>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00"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firstLine="105" w:firstLineChars="5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标项名称或内容</w:t>
            </w:r>
          </w:p>
        </w:tc>
        <w:tc>
          <w:tcPr>
            <w:tcW w:w="876"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908"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1254"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预算造价</w:t>
            </w:r>
          </w:p>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383"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3"/>
              <w:jc w:val="center"/>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最高投标限价（元）</w:t>
            </w:r>
          </w:p>
        </w:tc>
        <w:tc>
          <w:tcPr>
            <w:tcW w:w="1065"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right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标的物行业</w:t>
            </w:r>
          </w:p>
        </w:tc>
        <w:tc>
          <w:tcPr>
            <w:tcW w:w="1065"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rightChars="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823"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00"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20" w:lineRule="exact"/>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bCs/>
                <w:sz w:val="21"/>
                <w:szCs w:val="21"/>
                <w:lang w:eastAsia="zh-CN"/>
              </w:rPr>
              <w:t>仙居县城乡冷链物流设施项目—物流网点连接线工程（下各镇）</w:t>
            </w:r>
          </w:p>
        </w:tc>
        <w:tc>
          <w:tcPr>
            <w:tcW w:w="876"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08"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c>
          <w:tcPr>
            <w:tcW w:w="1254"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rPr>
              <w:t>3506315</w:t>
            </w:r>
          </w:p>
        </w:tc>
        <w:tc>
          <w:tcPr>
            <w:tcW w:w="1383"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3295908</w:t>
            </w:r>
          </w:p>
        </w:tc>
        <w:tc>
          <w:tcPr>
            <w:tcW w:w="1065"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right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建筑业</w:t>
            </w:r>
          </w:p>
        </w:tc>
        <w:tc>
          <w:tcPr>
            <w:tcW w:w="1065" w:type="dxa"/>
            <w:noWrap w:val="0"/>
            <w:vAlign w:val="center"/>
          </w:tcPr>
          <w:p>
            <w:pPr>
              <w:keepNext w:val="0"/>
              <w:keepLines w:val="0"/>
              <w:pageBreakBefore w:val="0"/>
              <w:suppressLineNumbers w:val="0"/>
              <w:tabs>
                <w:tab w:val="left" w:pos="8280"/>
              </w:tabs>
              <w:kinsoku/>
              <w:wordWrap/>
              <w:overflowPunct/>
              <w:topLinePunct w:val="0"/>
              <w:autoSpaceDE w:val="0"/>
              <w:autoSpaceDN w:val="0"/>
              <w:bidi w:val="0"/>
              <w:adjustRightInd w:val="0"/>
              <w:spacing w:before="0" w:beforeAutospacing="0" w:after="0" w:afterAutospacing="0" w:line="320" w:lineRule="exact"/>
              <w:ind w:left="0" w:right="25" w:rightChars="0"/>
              <w:jc w:val="center"/>
              <w:rPr>
                <w:rFonts w:hint="eastAsia" w:ascii="宋体" w:hAnsi="宋体" w:eastAsia="宋体" w:cs="宋体"/>
                <w:color w:val="auto"/>
                <w:sz w:val="21"/>
                <w:szCs w:val="21"/>
                <w:highlight w:val="none"/>
                <w:lang w:val="en-US" w:eastAsia="zh-CN"/>
              </w:rPr>
            </w:pPr>
          </w:p>
        </w:tc>
      </w:tr>
    </w:tbl>
    <w:p>
      <w:pPr>
        <w:pageBreakBefore w:val="0"/>
        <w:widowControl w:val="0"/>
        <w:numPr>
          <w:ilvl w:val="0"/>
          <w:numId w:val="0"/>
        </w:numPr>
        <w:kinsoku/>
        <w:overflowPunct/>
        <w:topLinePunct w:val="0"/>
        <w:autoSpaceDE/>
        <w:autoSpaceDN/>
        <w:bidi w:val="0"/>
        <w:snapToGrid w:val="0"/>
        <w:spacing w:line="360" w:lineRule="exact"/>
        <w:jc w:val="left"/>
        <w:textAlignment w:val="auto"/>
        <w:rPr>
          <w:rFonts w:hint="default"/>
          <w:highlight w:val="none"/>
          <w:lang w:val="en-US" w:eastAsia="zh-CN"/>
        </w:rPr>
      </w:pPr>
      <w:r>
        <w:rPr>
          <w:rFonts w:hint="eastAsia" w:ascii="宋体" w:hAnsi="宋体" w:eastAsia="宋体" w:cs="宋体"/>
          <w:color w:val="auto"/>
          <w:sz w:val="21"/>
          <w:szCs w:val="21"/>
          <w:highlight w:val="none"/>
          <w:lang w:val="en-US" w:eastAsia="zh-CN"/>
        </w:rPr>
        <w:t>2.具体工作范围：</w:t>
      </w:r>
      <w:r>
        <w:rPr>
          <w:rFonts w:hint="eastAsia"/>
          <w:color w:val="auto"/>
          <w:sz w:val="21"/>
          <w:szCs w:val="21"/>
          <w:u w:val="none"/>
          <w:lang w:eastAsia="zh-CN"/>
        </w:rPr>
        <w:t>仙居县城乡冷链物流设施项目—物流网点连接线工程（下各镇）共涉及 10 条农村公路，</w:t>
      </w:r>
      <w:r>
        <w:rPr>
          <w:rFonts w:hint="eastAsia" w:ascii="Times New Roman" w:hAnsi="Times New Roman" w:eastAsia="宋体" w:cs="Times New Roman"/>
          <w:spacing w:val="-6"/>
          <w:kern w:val="0"/>
          <w:sz w:val="21"/>
          <w:szCs w:val="21"/>
          <w:highlight w:val="none"/>
          <w:lang w:val="en-US" w:eastAsia="zh-CN" w:bidi="ar-SA"/>
        </w:rPr>
        <w:t>分别为管铁线- 里积路（K0+000</w:t>
      </w:r>
      <w:r>
        <w:rPr>
          <w:rFonts w:hint="eastAsia" w:cs="Times New Roman"/>
          <w:spacing w:val="-6"/>
          <w:kern w:val="0"/>
          <w:sz w:val="21"/>
          <w:szCs w:val="21"/>
          <w:highlight w:val="none"/>
          <w:lang w:val="en-US" w:eastAsia="zh-CN" w:bidi="ar-SA"/>
        </w:rPr>
        <w:t>—K0+420</w:t>
      </w:r>
      <w:r>
        <w:rPr>
          <w:rFonts w:hint="eastAsia" w:ascii="Times New Roman" w:hAnsi="Times New Roman" w:eastAsia="宋体" w:cs="Times New Roman"/>
          <w:spacing w:val="-6"/>
          <w:kern w:val="0"/>
          <w:sz w:val="21"/>
          <w:szCs w:val="21"/>
          <w:highlight w:val="none"/>
          <w:lang w:val="en-US" w:eastAsia="zh-CN" w:bidi="ar-SA"/>
        </w:rPr>
        <w:t>）、镇桥村道 -下洋（K0+000</w:t>
      </w:r>
      <w:r>
        <w:rPr>
          <w:rFonts w:hint="eastAsia" w:cs="Times New Roman"/>
          <w:spacing w:val="-6"/>
          <w:kern w:val="0"/>
          <w:sz w:val="21"/>
          <w:szCs w:val="21"/>
          <w:highlight w:val="none"/>
          <w:lang w:val="en-US" w:eastAsia="zh-CN" w:bidi="ar-SA"/>
        </w:rPr>
        <w:t xml:space="preserve">—K0+940 </w:t>
      </w:r>
      <w:r>
        <w:rPr>
          <w:rFonts w:hint="eastAsia" w:ascii="Times New Roman" w:hAnsi="Times New Roman" w:eastAsia="宋体" w:cs="Times New Roman"/>
          <w:spacing w:val="-6"/>
          <w:kern w:val="0"/>
          <w:sz w:val="21"/>
          <w:szCs w:val="21"/>
          <w:highlight w:val="none"/>
          <w:lang w:val="en-US" w:eastAsia="zh-CN" w:bidi="ar-SA"/>
        </w:rPr>
        <w:t>）、大怀线- 黄梁陈（K0+000</w:t>
      </w:r>
      <w:r>
        <w:rPr>
          <w:rFonts w:hint="eastAsia" w:cs="Times New Roman"/>
          <w:spacing w:val="-6"/>
          <w:kern w:val="0"/>
          <w:sz w:val="21"/>
          <w:szCs w:val="21"/>
          <w:highlight w:val="none"/>
          <w:lang w:val="en-US" w:eastAsia="zh-CN" w:bidi="ar-SA"/>
        </w:rPr>
        <w:t>—K0+522</w:t>
      </w:r>
      <w:r>
        <w:rPr>
          <w:rFonts w:hint="eastAsia" w:ascii="Times New Roman" w:hAnsi="Times New Roman" w:eastAsia="宋体" w:cs="Times New Roman"/>
          <w:spacing w:val="-6"/>
          <w:kern w:val="0"/>
          <w:sz w:val="21"/>
          <w:szCs w:val="21"/>
          <w:highlight w:val="none"/>
          <w:lang w:val="en-US" w:eastAsia="zh-CN" w:bidi="ar-SA"/>
        </w:rPr>
        <w:t>）、管铁线- 杨砩头（K0+000</w:t>
      </w:r>
      <w:r>
        <w:rPr>
          <w:rFonts w:hint="eastAsia" w:cs="Times New Roman"/>
          <w:spacing w:val="-6"/>
          <w:kern w:val="0"/>
          <w:sz w:val="21"/>
          <w:szCs w:val="21"/>
          <w:highlight w:val="none"/>
          <w:lang w:val="en-US" w:eastAsia="zh-CN" w:bidi="ar-SA"/>
        </w:rPr>
        <w:t>—K2+900</w:t>
      </w:r>
      <w:r>
        <w:rPr>
          <w:rFonts w:hint="eastAsia" w:ascii="Times New Roman" w:hAnsi="Times New Roman" w:eastAsia="宋体" w:cs="Times New Roman"/>
          <w:spacing w:val="-6"/>
          <w:kern w:val="0"/>
          <w:sz w:val="21"/>
          <w:szCs w:val="21"/>
          <w:highlight w:val="none"/>
          <w:lang w:val="en-US" w:eastAsia="zh-CN" w:bidi="ar-SA"/>
        </w:rPr>
        <w:t>）、管铁线-马垟村东（K0+000</w:t>
      </w:r>
      <w:r>
        <w:rPr>
          <w:rFonts w:hint="eastAsia" w:cs="Times New Roman"/>
          <w:spacing w:val="-6"/>
          <w:kern w:val="0"/>
          <w:sz w:val="21"/>
          <w:szCs w:val="21"/>
          <w:highlight w:val="none"/>
          <w:lang w:val="en-US" w:eastAsia="zh-CN" w:bidi="ar-SA"/>
        </w:rPr>
        <w:t>—K0+320</w:t>
      </w:r>
      <w:r>
        <w:rPr>
          <w:rFonts w:hint="eastAsia" w:ascii="Times New Roman" w:hAnsi="Times New Roman" w:eastAsia="宋体" w:cs="Times New Roman"/>
          <w:spacing w:val="-6"/>
          <w:kern w:val="0"/>
          <w:sz w:val="21"/>
          <w:szCs w:val="21"/>
          <w:highlight w:val="none"/>
          <w:lang w:val="en-US" w:eastAsia="zh-CN" w:bidi="ar-SA"/>
        </w:rPr>
        <w:t>）、管铁线-塘头（K0+000</w:t>
      </w:r>
      <w:r>
        <w:rPr>
          <w:rFonts w:hint="eastAsia" w:cs="Times New Roman"/>
          <w:spacing w:val="-6"/>
          <w:kern w:val="0"/>
          <w:sz w:val="21"/>
          <w:szCs w:val="21"/>
          <w:highlight w:val="none"/>
          <w:lang w:val="en-US" w:eastAsia="zh-CN" w:bidi="ar-SA"/>
        </w:rPr>
        <w:t>—K0+400</w:t>
      </w:r>
      <w:r>
        <w:rPr>
          <w:rFonts w:hint="eastAsia" w:ascii="Times New Roman" w:hAnsi="Times New Roman" w:eastAsia="宋体" w:cs="Times New Roman"/>
          <w:spacing w:val="-6"/>
          <w:kern w:val="0"/>
          <w:sz w:val="21"/>
          <w:szCs w:val="21"/>
          <w:highlight w:val="none"/>
          <w:lang w:val="en-US" w:eastAsia="zh-CN" w:bidi="ar-SA"/>
        </w:rPr>
        <w:t>）、白怀线-下各七村（K0+000</w:t>
      </w:r>
      <w:r>
        <w:rPr>
          <w:rFonts w:hint="eastAsia" w:cs="Times New Roman"/>
          <w:spacing w:val="-6"/>
          <w:kern w:val="0"/>
          <w:sz w:val="21"/>
          <w:szCs w:val="21"/>
          <w:highlight w:val="none"/>
          <w:lang w:val="en-US" w:eastAsia="zh-CN" w:bidi="ar-SA"/>
        </w:rPr>
        <w:t>—K0+960</w:t>
      </w:r>
      <w:r>
        <w:rPr>
          <w:rFonts w:hint="eastAsia" w:ascii="Times New Roman" w:hAnsi="Times New Roman" w:eastAsia="宋体" w:cs="Times New Roman"/>
          <w:spacing w:val="-6"/>
          <w:kern w:val="0"/>
          <w:sz w:val="21"/>
          <w:szCs w:val="21"/>
          <w:highlight w:val="none"/>
          <w:lang w:val="en-US" w:eastAsia="zh-CN" w:bidi="ar-SA"/>
        </w:rPr>
        <w:t>）、白怀线-吴家井（K0+000</w:t>
      </w:r>
      <w:r>
        <w:rPr>
          <w:rFonts w:hint="eastAsia" w:cs="Times New Roman"/>
          <w:spacing w:val="-6"/>
          <w:kern w:val="0"/>
          <w:sz w:val="21"/>
          <w:szCs w:val="21"/>
          <w:highlight w:val="none"/>
          <w:lang w:val="en-US" w:eastAsia="zh-CN" w:bidi="ar-SA"/>
        </w:rPr>
        <w:t>—K3+690</w:t>
      </w:r>
      <w:r>
        <w:rPr>
          <w:rFonts w:hint="eastAsia" w:ascii="Times New Roman" w:hAnsi="Times New Roman" w:eastAsia="宋体" w:cs="Times New Roman"/>
          <w:spacing w:val="-6"/>
          <w:kern w:val="0"/>
          <w:sz w:val="21"/>
          <w:szCs w:val="21"/>
          <w:highlight w:val="none"/>
          <w:lang w:val="en-US" w:eastAsia="zh-CN" w:bidi="ar-SA"/>
        </w:rPr>
        <w:t>）、吴家井村道-里基岙（K0+000</w:t>
      </w:r>
      <w:r>
        <w:rPr>
          <w:rFonts w:hint="eastAsia" w:cs="Times New Roman"/>
          <w:spacing w:val="-6"/>
          <w:kern w:val="0"/>
          <w:sz w:val="21"/>
          <w:szCs w:val="21"/>
          <w:highlight w:val="none"/>
          <w:lang w:val="en-US" w:eastAsia="zh-CN" w:bidi="ar-SA"/>
        </w:rPr>
        <w:t>—K0+930</w:t>
      </w:r>
      <w:r>
        <w:rPr>
          <w:rFonts w:hint="eastAsia" w:ascii="Times New Roman" w:hAnsi="Times New Roman" w:eastAsia="宋体" w:cs="Times New Roman"/>
          <w:spacing w:val="-6"/>
          <w:kern w:val="0"/>
          <w:sz w:val="21"/>
          <w:szCs w:val="21"/>
          <w:highlight w:val="none"/>
          <w:lang w:val="en-US" w:eastAsia="zh-CN" w:bidi="ar-SA"/>
        </w:rPr>
        <w:t>）、白怀线-前潘村（K0+000</w:t>
      </w:r>
      <w:r>
        <w:rPr>
          <w:rFonts w:hint="eastAsia" w:cs="Times New Roman"/>
          <w:spacing w:val="-6"/>
          <w:kern w:val="0"/>
          <w:sz w:val="21"/>
          <w:szCs w:val="21"/>
          <w:highlight w:val="none"/>
          <w:lang w:val="en-US" w:eastAsia="zh-CN" w:bidi="ar-SA"/>
        </w:rPr>
        <w:t>—K1+825</w:t>
      </w:r>
      <w:r>
        <w:rPr>
          <w:rFonts w:hint="eastAsia" w:ascii="Times New Roman" w:hAnsi="Times New Roman" w:eastAsia="宋体" w:cs="Times New Roman"/>
          <w:spacing w:val="-6"/>
          <w:kern w:val="0"/>
          <w:sz w:val="21"/>
          <w:szCs w:val="21"/>
          <w:highlight w:val="none"/>
          <w:lang w:val="en-US" w:eastAsia="zh-CN" w:bidi="ar-SA"/>
        </w:rPr>
        <w:t>），</w:t>
      </w:r>
      <w:r>
        <w:rPr>
          <w:rFonts w:hint="eastAsia"/>
          <w:color w:val="auto"/>
          <w:sz w:val="21"/>
          <w:szCs w:val="21"/>
          <w:u w:val="none"/>
          <w:lang w:eastAsia="zh-CN"/>
        </w:rPr>
        <w:t>全长 12.907km</w:t>
      </w:r>
      <w:r>
        <w:rPr>
          <w:rFonts w:hint="eastAsia" w:eastAsia="宋体"/>
          <w:color w:val="auto"/>
          <w:sz w:val="21"/>
          <w:szCs w:val="21"/>
          <w:u w:val="none"/>
          <w:lang w:val="en-US" w:eastAsia="zh-CN"/>
        </w:rPr>
        <w:t>。</w:t>
      </w:r>
      <w:r>
        <w:rPr>
          <w:rFonts w:hint="eastAsia"/>
          <w:color w:val="auto"/>
          <w:sz w:val="21"/>
          <w:szCs w:val="21"/>
          <w:highlight w:val="none"/>
          <w:u w:val="none"/>
        </w:rPr>
        <w:t>主要建设内容</w:t>
      </w:r>
      <w:r>
        <w:rPr>
          <w:rFonts w:hint="eastAsia"/>
          <w:color w:val="auto"/>
          <w:sz w:val="21"/>
          <w:szCs w:val="21"/>
          <w:highlight w:val="none"/>
          <w:u w:val="none"/>
          <w:lang w:val="en-US" w:eastAsia="zh-CN"/>
        </w:rPr>
        <w:t>为</w:t>
      </w:r>
      <w:r>
        <w:rPr>
          <w:rFonts w:hint="eastAsia"/>
          <w:color w:val="auto"/>
          <w:sz w:val="21"/>
          <w:szCs w:val="21"/>
          <w:highlight w:val="none"/>
          <w:u w:val="none"/>
        </w:rPr>
        <w:t>：</w:t>
      </w:r>
      <w:r>
        <w:rPr>
          <w:rFonts w:hint="eastAsia"/>
          <w:color w:val="auto"/>
          <w:sz w:val="21"/>
          <w:szCs w:val="21"/>
          <w:highlight w:val="none"/>
          <w:u w:val="none"/>
          <w:lang w:val="en-US" w:eastAsia="zh-CN"/>
        </w:rPr>
        <w:t>对原水泥路面进行局部病害维修，对挡墙、边沟、安全设施等进行破损修复。</w:t>
      </w:r>
      <w:r>
        <w:rPr>
          <w:rFonts w:hint="eastAsia"/>
          <w:color w:val="auto"/>
          <w:sz w:val="21"/>
          <w:szCs w:val="21"/>
          <w:highlight w:val="none"/>
          <w:u w:val="none"/>
        </w:rPr>
        <w:t>具体详见招标人提供的设计图纸</w:t>
      </w:r>
      <w:r>
        <w:rPr>
          <w:rFonts w:hint="eastAsia"/>
          <w:color w:val="auto"/>
          <w:sz w:val="21"/>
          <w:szCs w:val="21"/>
          <w:highlight w:val="none"/>
          <w:u w:val="none"/>
          <w:lang w:val="en-US" w:eastAsia="zh-CN"/>
        </w:rPr>
        <w:t>及</w:t>
      </w:r>
      <w:r>
        <w:rPr>
          <w:rFonts w:hint="eastAsia"/>
          <w:color w:val="auto"/>
          <w:sz w:val="21"/>
          <w:szCs w:val="21"/>
          <w:highlight w:val="none"/>
          <w:u w:val="none"/>
        </w:rPr>
        <w:t>工程量清单</w:t>
      </w:r>
      <w:r>
        <w:rPr>
          <w:rFonts w:hint="eastAsia" w:ascii="宋体" w:hAnsi="宋体"/>
          <w:color w:val="auto"/>
          <w:sz w:val="21"/>
          <w:szCs w:val="21"/>
          <w:highlight w:val="none"/>
          <w:u w:val="none"/>
        </w:rPr>
        <w:t>。</w:t>
      </w:r>
    </w:p>
    <w:p>
      <w:pPr>
        <w:snapToGrid w:val="0"/>
        <w:spacing w:line="40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kern w:val="0"/>
          <w:sz w:val="21"/>
          <w:szCs w:val="21"/>
        </w:rPr>
        <w:t>采购人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磋商响应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pPr>
        <w:snapToGrid w:val="0"/>
        <w:spacing w:line="400" w:lineRule="exact"/>
        <w:jc w:val="left"/>
        <w:rPr>
          <w:rFonts w:ascii="宋体" w:hAnsi="宋体" w:eastAsia="宋体" w:cs="宋体"/>
          <w:b/>
          <w:bCs/>
          <w:kern w:val="0"/>
          <w:sz w:val="21"/>
          <w:szCs w:val="21"/>
        </w:rPr>
      </w:pPr>
      <w:r>
        <w:rPr>
          <w:rFonts w:hint="eastAsia" w:ascii="宋体" w:hAnsi="宋体" w:eastAsia="宋体" w:cs="宋体"/>
          <w:b/>
          <w:bCs/>
          <w:kern w:val="0"/>
          <w:sz w:val="21"/>
          <w:szCs w:val="21"/>
        </w:rPr>
        <w:t>二、规范要求</w:t>
      </w:r>
    </w:p>
    <w:p>
      <w:pPr>
        <w:pStyle w:val="7"/>
        <w:snapToGrid w:val="0"/>
        <w:spacing w:after="0" w:line="400" w:lineRule="exact"/>
        <w:ind w:firstLine="420" w:firstLineChars="200"/>
        <w:rPr>
          <w:rFonts w:ascii="宋体" w:hAnsi="宋体" w:eastAsia="宋体" w:cs="宋体"/>
          <w:bCs/>
          <w:kern w:val="0"/>
          <w:szCs w:val="21"/>
        </w:rPr>
      </w:pPr>
      <w:r>
        <w:rPr>
          <w:rFonts w:hint="eastAsia" w:ascii="宋体" w:hAnsi="宋体" w:eastAsia="宋体" w:cs="宋体"/>
          <w:bCs/>
          <w:kern w:val="0"/>
          <w:szCs w:val="21"/>
        </w:rPr>
        <w:t>1.依据设计施工图纸和技术规范要求，本工程项目的材料、设备、施工必须达到现行中华人民共和国及省、市、行业的一切有关法规、规范的要求，如标准及规范要求有出入则以较严格者为准。</w:t>
      </w:r>
    </w:p>
    <w:p>
      <w:pPr>
        <w:pStyle w:val="35"/>
        <w:spacing w:line="400" w:lineRule="exact"/>
        <w:ind w:firstLine="420" w:firstLineChars="200"/>
        <w:rPr>
          <w:rFonts w:ascii="宋体" w:hAnsi="宋体" w:eastAsia="宋体" w:cs="宋体"/>
          <w:bCs/>
          <w:kern w:val="0"/>
          <w:sz w:val="21"/>
          <w:szCs w:val="21"/>
          <w:lang w:val="en-US"/>
        </w:rPr>
      </w:pPr>
      <w:r>
        <w:rPr>
          <w:rFonts w:hint="eastAsia" w:ascii="宋体" w:hAnsi="宋体" w:eastAsia="宋体" w:cs="宋体"/>
          <w:bCs/>
          <w:kern w:val="0"/>
          <w:sz w:val="21"/>
          <w:szCs w:val="21"/>
          <w:lang w:val="en-US"/>
        </w:rPr>
        <w:t>2.技术规范由承包人自备，如有不足之处或未能达到国家最新标准时，承包人应使施工及选用的设备和材料符合最新版本的国家标准、规范。</w:t>
      </w:r>
    </w:p>
    <w:p>
      <w:pPr>
        <w:spacing w:line="400" w:lineRule="exact"/>
        <w:rPr>
          <w:rFonts w:ascii="宋体" w:hAnsi="宋体" w:eastAsia="宋体" w:cs="宋体"/>
          <w:b/>
          <w:sz w:val="21"/>
          <w:szCs w:val="21"/>
        </w:rPr>
      </w:pPr>
      <w:r>
        <w:rPr>
          <w:rFonts w:hint="eastAsia" w:ascii="宋体" w:hAnsi="宋体" w:eastAsia="宋体" w:cs="宋体"/>
          <w:b/>
          <w:sz w:val="21"/>
          <w:szCs w:val="21"/>
        </w:rPr>
        <w:t>三、施工要求</w:t>
      </w:r>
    </w:p>
    <w:p>
      <w:pPr>
        <w:pStyle w:val="35"/>
        <w:spacing w:line="400" w:lineRule="exact"/>
        <w:ind w:firstLine="420" w:firstLineChars="20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1、工程质量验收按技术规范及《公路工程质量检验评定标准》执行。</w:t>
      </w:r>
    </w:p>
    <w:p>
      <w:pPr>
        <w:pStyle w:val="35"/>
        <w:spacing w:line="400" w:lineRule="exact"/>
        <w:ind w:firstLine="420" w:firstLineChars="200"/>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2、承包人必须遵守国家有关法律、法规和规章，严格执行《公路养护技术规范》（JTG 5110-2023）、《公路技术状况评定标准》（JTG H20-2007）等各类技术规范及规程，全面履行工程合同义务，依法对公路养护工程质量负责。</w:t>
      </w:r>
    </w:p>
    <w:p>
      <w:pPr>
        <w:pStyle w:val="35"/>
        <w:spacing w:line="400" w:lineRule="exact"/>
        <w:ind w:firstLine="420" w:firstLineChars="20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3、</w:t>
      </w:r>
      <w:r>
        <w:rPr>
          <w:rFonts w:hint="eastAsia" w:ascii="宋体" w:hAnsi="宋体" w:eastAsia="宋体" w:cs="宋体"/>
          <w:color w:val="000000"/>
          <w:kern w:val="2"/>
          <w:sz w:val="21"/>
          <w:szCs w:val="21"/>
          <w:lang w:val="en-US" w:eastAsia="zh-CN" w:bidi="ar"/>
        </w:rPr>
        <w:t>承包人应提供为完成合同工作所需的劳务、材料、施工设备、工程设备和其他物品，并按采购文件和合同约定负责临时设施的设计、建造、运行、维护、管理和拆除</w:t>
      </w:r>
      <w:r>
        <w:rPr>
          <w:rFonts w:hint="eastAsia" w:ascii="宋体" w:hAnsi="宋体" w:eastAsia="宋体" w:cs="宋体"/>
          <w:bCs/>
          <w:kern w:val="0"/>
          <w:sz w:val="21"/>
          <w:szCs w:val="21"/>
          <w:lang w:val="en-US" w:eastAsia="zh-CN"/>
        </w:rPr>
        <w:t>。</w:t>
      </w:r>
    </w:p>
    <w:p>
      <w:pPr>
        <w:pStyle w:val="35"/>
        <w:spacing w:line="400" w:lineRule="exact"/>
        <w:ind w:firstLine="420" w:firstLineChars="200"/>
        <w:rPr>
          <w:rFonts w:hint="eastAsia" w:ascii="宋体" w:hAnsi="宋体" w:eastAsia="宋体" w:cs="宋体"/>
          <w:bCs/>
          <w:color w:val="000000"/>
          <w:kern w:val="2"/>
          <w:sz w:val="21"/>
          <w:szCs w:val="21"/>
          <w:lang w:val="en-US" w:eastAsia="zh-CN" w:bidi="ar"/>
        </w:rPr>
      </w:pPr>
      <w:r>
        <w:rPr>
          <w:rFonts w:hint="eastAsia" w:ascii="宋体" w:hAnsi="宋体" w:eastAsia="宋体" w:cs="宋体"/>
          <w:bCs/>
          <w:kern w:val="0"/>
          <w:sz w:val="21"/>
          <w:szCs w:val="21"/>
          <w:lang w:val="en-US" w:eastAsia="zh-CN"/>
        </w:rPr>
        <w:t>4、</w:t>
      </w:r>
      <w:r>
        <w:rPr>
          <w:rFonts w:hint="eastAsia" w:ascii="宋体" w:hAnsi="宋体" w:eastAsia="宋体" w:cs="宋体"/>
          <w:bCs/>
          <w:color w:val="000000"/>
          <w:kern w:val="2"/>
          <w:sz w:val="21"/>
          <w:szCs w:val="21"/>
          <w:lang w:val="en-US" w:eastAsia="zh-CN" w:bidi="ar"/>
        </w:rPr>
        <w:t>承包人应负责做好合同规定的养护组织设计，精心组织养护，加强养护质量控制，完成本合同公路养护工程。为此，承包人应提供所需的全部监督管理、劳务、材料、设备、养护装备和其他物品。</w:t>
      </w:r>
    </w:p>
    <w:p>
      <w:pPr>
        <w:pStyle w:val="35"/>
        <w:spacing w:line="400" w:lineRule="exact"/>
        <w:ind w:firstLine="420" w:firstLineChars="20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5、承包人应按</w:t>
      </w:r>
      <w:r>
        <w:rPr>
          <w:rFonts w:hint="eastAsia" w:ascii="宋体" w:hAnsi="宋体" w:eastAsia="宋体" w:cs="宋体"/>
          <w:color w:val="000000"/>
          <w:kern w:val="2"/>
          <w:sz w:val="21"/>
          <w:szCs w:val="21"/>
          <w:lang w:val="en-US" w:eastAsia="zh-CN" w:bidi="ar"/>
        </w:rPr>
        <w:t>采购文件和</w:t>
      </w:r>
      <w:r>
        <w:rPr>
          <w:rFonts w:hint="eastAsia" w:ascii="宋体" w:hAnsi="宋体" w:eastAsia="宋体" w:cs="宋体"/>
          <w:bCs/>
          <w:kern w:val="0"/>
          <w:sz w:val="21"/>
          <w:szCs w:val="21"/>
          <w:lang w:val="en-US" w:eastAsia="zh-CN"/>
        </w:rPr>
        <w:t>合同约定的工作内容和施工进度要求，编制养护工程作业方案和施工措施计划，并对所有施工作业和施工方法的完备性和安全可靠性负责。</w:t>
      </w:r>
    </w:p>
    <w:p>
      <w:pPr>
        <w:pStyle w:val="35"/>
        <w:spacing w:line="400" w:lineRule="exact"/>
        <w:ind w:firstLine="420" w:firstLineChars="20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6、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pPr>
        <w:pStyle w:val="35"/>
        <w:spacing w:line="400" w:lineRule="exact"/>
        <w:ind w:firstLine="420" w:firstLineChars="200"/>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7、在实施和完成养护工程的整个过程中，承包人应该充分关注和保障所有在现场工作的人员安全，采取有效措施，使养护作业现场和本合同养护工程的实施保持有条不紊，以免人员的安全受到威胁。</w:t>
      </w:r>
    </w:p>
    <w:p>
      <w:pPr>
        <w:pStyle w:val="48"/>
        <w:pageBreakBefore w:val="0"/>
        <w:widowControl w:val="0"/>
        <w:kinsoku/>
        <w:overflowPunct/>
        <w:topLinePunct w:val="0"/>
        <w:autoSpaceDE/>
        <w:autoSpaceDN/>
        <w:bidi w:val="0"/>
        <w:spacing w:line="360" w:lineRule="exact"/>
        <w:ind w:firstLine="420"/>
        <w:textAlignment w:val="auto"/>
        <w:rPr>
          <w:rFonts w:hint="default"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8、</w:t>
      </w:r>
      <w:r>
        <w:rPr>
          <w:rFonts w:hint="default" w:ascii="宋体" w:hAnsi="宋体" w:eastAsia="宋体" w:cs="宋体"/>
          <w:color w:val="auto"/>
          <w:lang w:val="en-US" w:eastAsia="zh-CN"/>
        </w:rPr>
        <w:t>隐蔽工程必须经</w:t>
      </w:r>
      <w:r>
        <w:rPr>
          <w:rFonts w:hint="eastAsia" w:ascii="宋体" w:hAnsi="宋体" w:eastAsia="宋体" w:cs="宋体"/>
          <w:color w:val="auto"/>
          <w:lang w:val="en-US" w:eastAsia="zh-CN"/>
        </w:rPr>
        <w:t>发包人</w:t>
      </w:r>
      <w:r>
        <w:rPr>
          <w:rFonts w:hint="default" w:ascii="宋体" w:hAnsi="宋体" w:eastAsia="宋体" w:cs="宋体"/>
          <w:color w:val="auto"/>
          <w:lang w:val="en-US" w:eastAsia="zh-CN"/>
        </w:rPr>
        <w:t>检查、验收后，方可进行下一道工序。</w:t>
      </w:r>
    </w:p>
    <w:p>
      <w:pPr>
        <w:spacing w:line="400" w:lineRule="exact"/>
        <w:rPr>
          <w:rFonts w:ascii="宋体" w:hAnsi="宋体" w:eastAsia="宋体" w:cs="宋体"/>
          <w:b/>
          <w:sz w:val="21"/>
          <w:szCs w:val="21"/>
        </w:rPr>
      </w:pPr>
      <w:r>
        <w:rPr>
          <w:rFonts w:hint="eastAsia" w:ascii="宋体" w:hAnsi="宋体" w:eastAsia="宋体" w:cs="宋体"/>
          <w:b/>
          <w:sz w:val="21"/>
          <w:szCs w:val="21"/>
        </w:rPr>
        <w:t>四、材料</w:t>
      </w:r>
      <w:r>
        <w:rPr>
          <w:rFonts w:hint="eastAsia" w:ascii="宋体" w:hAnsi="宋体" w:eastAsia="宋体" w:cs="宋体"/>
          <w:b/>
          <w:sz w:val="21"/>
          <w:szCs w:val="21"/>
          <w:lang w:val="en-US" w:eastAsia="zh-CN"/>
        </w:rPr>
        <w:t>和设备</w:t>
      </w:r>
      <w:r>
        <w:rPr>
          <w:rFonts w:hint="eastAsia" w:ascii="宋体" w:hAnsi="宋体" w:eastAsia="宋体" w:cs="宋体"/>
          <w:b/>
          <w:sz w:val="21"/>
          <w:szCs w:val="21"/>
        </w:rPr>
        <w:t>质量要求</w:t>
      </w:r>
    </w:p>
    <w:p>
      <w:pPr>
        <w:pStyle w:val="48"/>
        <w:ind w:firstLine="420"/>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Cs/>
          <w:color w:val="000000"/>
          <w:kern w:val="2"/>
          <w:sz w:val="21"/>
          <w:szCs w:val="21"/>
          <w:highlight w:val="none"/>
          <w:lang w:val="en-US" w:eastAsia="zh-CN" w:bidi="ar"/>
        </w:rPr>
        <w:t>所有用于公路养护工程的材料和设备进场以前，承包人必须向发包人提交生产厂商出具的质量合格证书和承包人检验合格证书，证明材料、设备质量符合本合同技术规范的规定，以供发包人批准。</w:t>
      </w:r>
    </w:p>
    <w:p>
      <w:pPr>
        <w:pStyle w:val="48"/>
        <w:ind w:firstLine="42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Cs/>
          <w:color w:val="000000"/>
          <w:kern w:val="2"/>
          <w:sz w:val="21"/>
          <w:szCs w:val="21"/>
          <w:highlight w:val="none"/>
          <w:lang w:val="en-US" w:eastAsia="zh-CN" w:bidi="ar"/>
        </w:rPr>
        <w:t>承包人应随时按</w:t>
      </w:r>
      <w:r>
        <w:rPr>
          <w:rFonts w:hint="eastAsia" w:ascii="宋体" w:hAnsi="宋体" w:eastAsia="宋体" w:cs="宋体"/>
          <w:color w:val="auto"/>
          <w:highlight w:val="none"/>
          <w:lang w:eastAsia="zh-CN"/>
        </w:rPr>
        <w:t>发包人</w:t>
      </w:r>
      <w:r>
        <w:rPr>
          <w:rFonts w:hint="eastAsia" w:ascii="宋体" w:hAnsi="宋体" w:eastAsia="宋体" w:cs="宋体"/>
          <w:bCs/>
          <w:color w:val="000000"/>
          <w:kern w:val="2"/>
          <w:sz w:val="21"/>
          <w:szCs w:val="21"/>
          <w:highlight w:val="none"/>
          <w:lang w:val="en-US" w:eastAsia="zh-CN" w:bidi="ar"/>
        </w:rPr>
        <w:t>的指令在制造、加工或养护施工现场对材料和设备进行检验。</w:t>
      </w:r>
    </w:p>
    <w:p>
      <w:pPr>
        <w:pStyle w:val="48"/>
        <w:ind w:firstLine="42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bCs/>
          <w:color w:val="000000"/>
          <w:kern w:val="2"/>
          <w:sz w:val="21"/>
          <w:szCs w:val="21"/>
          <w:highlight w:val="none"/>
          <w:lang w:val="en-US" w:eastAsia="zh-CN" w:bidi="ar"/>
        </w:rPr>
        <w:t>承包人应为</w:t>
      </w:r>
      <w:r>
        <w:rPr>
          <w:rFonts w:hint="eastAsia" w:ascii="宋体" w:hAnsi="宋体" w:eastAsia="宋体" w:cs="宋体"/>
          <w:color w:val="auto"/>
          <w:highlight w:val="none"/>
          <w:lang w:eastAsia="zh-CN"/>
        </w:rPr>
        <w:t>发包人</w:t>
      </w:r>
      <w:r>
        <w:rPr>
          <w:rFonts w:hint="eastAsia" w:ascii="宋体" w:hAnsi="宋体" w:eastAsia="宋体" w:cs="宋体"/>
          <w:bCs/>
          <w:color w:val="000000"/>
          <w:kern w:val="2"/>
          <w:sz w:val="21"/>
          <w:szCs w:val="21"/>
          <w:highlight w:val="none"/>
          <w:lang w:val="en-US" w:eastAsia="zh-CN" w:bidi="ar"/>
        </w:rPr>
        <w:t>对材料或设备的检验提供一切必要的协助，在材料用于养护工程之前，承包人应按发包人的要求提供材料样品以供检验。</w:t>
      </w:r>
    </w:p>
    <w:p>
      <w:pPr>
        <w:pStyle w:val="48"/>
        <w:ind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、本工程所采用的材料，承包人在磋商报价时必须考虑材料运至工地，到工地后的卸车、二次搬运、保管、验收所产生的费用。工程结算时，不作调整。承包人必须服从</w:t>
      </w:r>
      <w:r>
        <w:rPr>
          <w:rFonts w:hint="eastAsia" w:ascii="宋体" w:hAnsi="宋体" w:eastAsia="宋体" w:cs="宋体"/>
          <w:color w:val="auto"/>
          <w:highlight w:val="none"/>
          <w:lang w:eastAsia="zh-CN"/>
        </w:rPr>
        <w:t>发包人</w:t>
      </w:r>
      <w:r>
        <w:rPr>
          <w:rFonts w:hint="eastAsia" w:ascii="宋体" w:hAnsi="宋体" w:eastAsia="宋体" w:cs="宋体"/>
          <w:color w:val="auto"/>
          <w:highlight w:val="none"/>
        </w:rPr>
        <w:t>安排并按</w:t>
      </w:r>
      <w:r>
        <w:rPr>
          <w:rFonts w:hint="eastAsia" w:ascii="宋体" w:hAnsi="宋体" w:eastAsia="宋体" w:cs="宋体"/>
          <w:color w:val="auto"/>
          <w:highlight w:val="none"/>
          <w:lang w:eastAsia="zh-CN"/>
        </w:rPr>
        <w:t>发包人</w:t>
      </w:r>
      <w:r>
        <w:rPr>
          <w:rFonts w:hint="eastAsia" w:ascii="宋体" w:hAnsi="宋体" w:eastAsia="宋体" w:cs="宋体"/>
          <w:color w:val="auto"/>
          <w:highlight w:val="none"/>
        </w:rPr>
        <w:t>要求实施。</w:t>
      </w:r>
    </w:p>
    <w:p>
      <w:pPr>
        <w:pStyle w:val="35"/>
        <w:numPr>
          <w:ilvl w:val="0"/>
          <w:numId w:val="3"/>
        </w:numPr>
        <w:spacing w:line="400" w:lineRule="exact"/>
        <w:rPr>
          <w:rFonts w:ascii="宋体" w:hAnsi="宋体" w:eastAsia="宋体" w:cs="宋体"/>
          <w:b/>
          <w:sz w:val="21"/>
          <w:szCs w:val="21"/>
          <w:lang w:val="en-US"/>
        </w:rPr>
      </w:pPr>
      <w:r>
        <w:rPr>
          <w:rFonts w:hint="eastAsia" w:ascii="宋体" w:hAnsi="宋体" w:eastAsia="宋体" w:cs="宋体"/>
          <w:b/>
          <w:sz w:val="21"/>
          <w:szCs w:val="21"/>
          <w:lang w:val="en-US"/>
        </w:rPr>
        <w:t>工程管理要求</w:t>
      </w:r>
    </w:p>
    <w:p>
      <w:pPr>
        <w:pStyle w:val="48"/>
        <w:pageBreakBefore w:val="0"/>
        <w:widowControl w:val="0"/>
        <w:kinsoku/>
        <w:overflowPunct/>
        <w:topLinePunct w:val="0"/>
        <w:autoSpaceDE/>
        <w:autoSpaceDN/>
        <w:bidi w:val="0"/>
        <w:spacing w:line="360" w:lineRule="exact"/>
        <w:ind w:firstLine="420"/>
        <w:textAlignment w:val="auto"/>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w:t>
      </w:r>
      <w:r>
        <w:rPr>
          <w:rFonts w:hint="eastAsia" w:hAnsi="宋体" w:eastAsia="宋体" w:cs="宋体"/>
          <w:szCs w:val="21"/>
          <w:highlight w:val="none"/>
          <w:lang w:val="en-US" w:eastAsia="zh-CN"/>
        </w:rPr>
        <w:t>本工程承包范围内的工程项目，</w:t>
      </w:r>
      <w:r>
        <w:rPr>
          <w:rFonts w:hint="eastAsia" w:ascii="宋体" w:hAnsi="宋体" w:eastAsia="宋体" w:cs="宋体"/>
          <w:color w:val="auto"/>
          <w:highlight w:val="none"/>
        </w:rPr>
        <w:t>承包人</w:t>
      </w:r>
      <w:r>
        <w:rPr>
          <w:rFonts w:hint="eastAsia" w:hAnsi="宋体" w:eastAsia="宋体" w:cs="宋体"/>
          <w:szCs w:val="21"/>
          <w:highlight w:val="none"/>
          <w:lang w:val="en-US" w:eastAsia="zh-CN"/>
        </w:rPr>
        <w:t>未经发包人同意，一律不得分包、转包，</w:t>
      </w:r>
      <w:r>
        <w:rPr>
          <w:rFonts w:hint="eastAsia" w:ascii="宋体" w:hAnsi="宋体" w:eastAsia="宋体" w:cs="宋体"/>
          <w:color w:val="auto"/>
          <w:highlight w:val="none"/>
        </w:rPr>
        <w:t>承包人</w:t>
      </w:r>
      <w:r>
        <w:rPr>
          <w:rFonts w:hint="eastAsia" w:hAnsi="宋体" w:eastAsia="宋体" w:cs="宋体"/>
          <w:szCs w:val="21"/>
          <w:highlight w:val="none"/>
          <w:lang w:val="en-US" w:eastAsia="zh-CN"/>
        </w:rPr>
        <w:t>擅自分包、转包以违约论，一经发现立即取消</w:t>
      </w:r>
      <w:r>
        <w:rPr>
          <w:rFonts w:hint="eastAsia" w:ascii="宋体" w:hAnsi="宋体" w:eastAsia="宋体" w:cs="宋体"/>
          <w:color w:val="auto"/>
          <w:highlight w:val="none"/>
        </w:rPr>
        <w:t>承包人</w:t>
      </w:r>
      <w:r>
        <w:rPr>
          <w:rFonts w:hint="eastAsia" w:hAnsi="宋体" w:eastAsia="宋体" w:cs="宋体"/>
          <w:szCs w:val="21"/>
          <w:highlight w:val="none"/>
          <w:lang w:val="en-US" w:eastAsia="zh-CN"/>
        </w:rPr>
        <w:t>的承包资格，承包人应承担由此引起的一切经济责任和法律责任。</w:t>
      </w:r>
    </w:p>
    <w:p>
      <w:pPr>
        <w:pStyle w:val="10"/>
        <w:pageBreakBefore w:val="0"/>
        <w:widowControl w:val="0"/>
        <w:kinsoku/>
        <w:overflowPunct/>
        <w:topLinePunct w:val="0"/>
        <w:autoSpaceDE/>
        <w:autoSpaceDN/>
        <w:bidi w:val="0"/>
        <w:snapToGrid w:val="0"/>
        <w:spacing w:line="360" w:lineRule="exact"/>
        <w:ind w:firstLine="420" w:firstLineChars="200"/>
        <w:textAlignment w:val="auto"/>
        <w:rPr>
          <w:rFonts w:hAnsi="宋体" w:cs="宋体"/>
          <w:szCs w:val="21"/>
        </w:rPr>
      </w:pPr>
      <w:r>
        <w:rPr>
          <w:rFonts w:hint="eastAsia" w:hAnsi="宋体" w:eastAsia="宋体" w:cs="宋体"/>
          <w:szCs w:val="21"/>
        </w:rPr>
        <w:t>2</w:t>
      </w:r>
      <w:r>
        <w:rPr>
          <w:rFonts w:hint="eastAsia" w:hAnsi="宋体" w:eastAsia="宋体" w:cs="宋体"/>
          <w:szCs w:val="21"/>
          <w:lang w:val="en-US" w:eastAsia="zh-CN"/>
        </w:rPr>
        <w:t>.</w:t>
      </w:r>
      <w:r>
        <w:rPr>
          <w:rFonts w:hint="eastAsia" w:hAnsi="宋体" w:eastAsia="宋体" w:cs="宋体"/>
          <w:szCs w:val="21"/>
          <w:highlight w:val="none"/>
          <w:lang w:val="en-US" w:eastAsia="zh-CN"/>
        </w:rPr>
        <w:t>承包人</w:t>
      </w:r>
      <w:r>
        <w:rPr>
          <w:rFonts w:hint="eastAsia" w:hAnsi="宋体" w:eastAsia="宋体" w:cs="宋体"/>
          <w:szCs w:val="21"/>
        </w:rPr>
        <w:t>应严格按已确认施工技术方案组织施工，并无条件地接受</w:t>
      </w:r>
      <w:r>
        <w:rPr>
          <w:rFonts w:hint="eastAsia" w:ascii="宋体" w:hAnsi="宋体" w:eastAsia="宋体" w:cs="宋体"/>
          <w:color w:val="auto"/>
          <w:highlight w:val="none"/>
          <w:lang w:eastAsia="zh-CN"/>
        </w:rPr>
        <w:t>发包人</w:t>
      </w:r>
      <w:r>
        <w:rPr>
          <w:rFonts w:hint="eastAsia" w:hAnsi="宋体" w:eastAsia="宋体" w:cs="宋体"/>
          <w:szCs w:val="21"/>
        </w:rPr>
        <w:t>代表对施工质量的监督和管理。</w:t>
      </w:r>
      <w:r>
        <w:rPr>
          <w:rFonts w:hint="eastAsia" w:hAnsi="宋体" w:cs="宋体"/>
          <w:szCs w:val="21"/>
        </w:rPr>
        <w:t>施工过程中，</w:t>
      </w:r>
      <w:r>
        <w:rPr>
          <w:rFonts w:hint="eastAsia" w:hAnsi="宋体" w:eastAsia="宋体" w:cs="宋体"/>
          <w:szCs w:val="21"/>
          <w:highlight w:val="none"/>
          <w:lang w:val="en-US" w:eastAsia="zh-CN"/>
        </w:rPr>
        <w:t>承包人</w:t>
      </w:r>
      <w:r>
        <w:rPr>
          <w:rFonts w:hint="eastAsia" w:hAnsi="宋体" w:cs="宋体"/>
          <w:szCs w:val="21"/>
        </w:rPr>
        <w:t>必须要严格把关，按照相应规范标准要求施工，如出现不符合标准要求的情况，</w:t>
      </w:r>
      <w:r>
        <w:rPr>
          <w:rFonts w:hint="eastAsia" w:hAnsi="宋体" w:eastAsia="宋体" w:cs="宋体"/>
          <w:szCs w:val="21"/>
          <w:highlight w:val="none"/>
          <w:lang w:val="en-US" w:eastAsia="zh-CN"/>
        </w:rPr>
        <w:t>承包人</w:t>
      </w:r>
      <w:r>
        <w:rPr>
          <w:rFonts w:hint="eastAsia" w:hAnsi="宋体" w:cs="宋体"/>
          <w:szCs w:val="21"/>
        </w:rPr>
        <w:t>必须无条件返工，直至达到规范标准要求。所发生的费用均由</w:t>
      </w:r>
      <w:r>
        <w:rPr>
          <w:rFonts w:hint="eastAsia" w:hAnsi="宋体" w:eastAsia="宋体" w:cs="宋体"/>
          <w:szCs w:val="21"/>
          <w:highlight w:val="none"/>
          <w:lang w:val="en-US" w:eastAsia="zh-CN"/>
        </w:rPr>
        <w:t>承包人</w:t>
      </w:r>
      <w:r>
        <w:rPr>
          <w:rFonts w:hint="eastAsia" w:hAnsi="宋体" w:cs="宋体"/>
          <w:szCs w:val="21"/>
        </w:rPr>
        <w:t>承担。</w:t>
      </w:r>
    </w:p>
    <w:p>
      <w:pPr>
        <w:pStyle w:val="48"/>
        <w:pageBreakBefore w:val="0"/>
        <w:widowControl w:val="0"/>
        <w:kinsoku/>
        <w:overflowPunct/>
        <w:topLinePunct w:val="0"/>
        <w:autoSpaceDE/>
        <w:autoSpaceDN/>
        <w:bidi w:val="0"/>
        <w:spacing w:line="360" w:lineRule="exact"/>
        <w:ind w:firstLine="420"/>
        <w:textAlignment w:val="auto"/>
        <w:rPr>
          <w:rFonts w:hint="eastAsia" w:ascii="宋体" w:hAnsi="宋体" w:eastAsia="宋体" w:cs="宋体"/>
          <w:color w:val="auto"/>
        </w:rPr>
      </w:pPr>
      <w:r>
        <w:rPr>
          <w:rFonts w:hint="eastAsia" w:ascii="宋体" w:hAnsi="宋体" w:cs="宋体"/>
          <w:color w:val="auto"/>
        </w:rPr>
        <w:t>3</w:t>
      </w:r>
      <w:r>
        <w:rPr>
          <w:rFonts w:hint="eastAsia" w:ascii="宋体" w:hAnsi="宋体" w:eastAsia="宋体" w:cs="宋体"/>
          <w:color w:val="auto"/>
          <w:lang w:val="en-US" w:eastAsia="zh-CN"/>
        </w:rPr>
        <w:t>.</w:t>
      </w:r>
      <w:r>
        <w:rPr>
          <w:rFonts w:hint="eastAsia" w:hAnsi="宋体" w:eastAsia="宋体" w:cs="宋体"/>
          <w:szCs w:val="21"/>
          <w:highlight w:val="none"/>
          <w:lang w:val="en-US" w:eastAsia="zh-CN"/>
        </w:rPr>
        <w:t>承包人</w:t>
      </w:r>
      <w:r>
        <w:rPr>
          <w:rFonts w:hint="eastAsia" w:ascii="宋体" w:hAnsi="宋体" w:eastAsia="宋体" w:cs="宋体"/>
          <w:color w:val="auto"/>
        </w:rPr>
        <w:t>在响应文件中的承诺的管理人员未经</w:t>
      </w:r>
      <w:r>
        <w:rPr>
          <w:rFonts w:hint="eastAsia" w:ascii="宋体" w:hAnsi="宋体" w:eastAsia="宋体" w:cs="宋体"/>
          <w:color w:val="auto"/>
          <w:highlight w:val="none"/>
          <w:lang w:eastAsia="zh-CN"/>
        </w:rPr>
        <w:t>发包人</w:t>
      </w:r>
      <w:r>
        <w:rPr>
          <w:rFonts w:hint="eastAsia" w:ascii="宋体" w:hAnsi="宋体" w:eastAsia="宋体" w:cs="宋体"/>
          <w:color w:val="auto"/>
        </w:rPr>
        <w:t>同意，不得调换和撤离，并按工程进度及时到位。</w:t>
      </w:r>
      <w:r>
        <w:rPr>
          <w:rFonts w:hint="eastAsia" w:ascii="宋体" w:hAnsi="宋体" w:eastAsia="宋体" w:cs="宋体"/>
          <w:color w:val="auto"/>
          <w:highlight w:val="none"/>
          <w:lang w:eastAsia="zh-CN"/>
        </w:rPr>
        <w:t>发包人</w:t>
      </w:r>
      <w:r>
        <w:rPr>
          <w:rFonts w:hint="eastAsia" w:ascii="宋体" w:hAnsi="宋体" w:eastAsia="宋体" w:cs="宋体"/>
          <w:color w:val="auto"/>
        </w:rPr>
        <w:t>有权要求撤换工作不负责任、管理不力、贻误工期和造成严重的安全事故和工程质量事故、违法乱纪的专业技术、管理人员、技术负责人，直至</w:t>
      </w:r>
      <w:r>
        <w:rPr>
          <w:rFonts w:hint="eastAsia" w:ascii="宋体" w:hAnsi="宋体" w:eastAsia="宋体" w:cs="宋体"/>
          <w:color w:val="auto"/>
          <w:highlight w:val="none"/>
          <w:lang w:eastAsia="zh-CN"/>
        </w:rPr>
        <w:t>发包人</w:t>
      </w:r>
      <w:r>
        <w:rPr>
          <w:rFonts w:hint="eastAsia" w:ascii="宋体" w:hAnsi="宋体" w:eastAsia="宋体" w:cs="宋体"/>
          <w:color w:val="auto"/>
        </w:rPr>
        <w:t>满意为止。如相应资质的专业技术人员未按要求到位，视作违约，</w:t>
      </w:r>
      <w:r>
        <w:rPr>
          <w:rFonts w:hint="eastAsia" w:ascii="宋体" w:hAnsi="宋体" w:eastAsia="宋体" w:cs="宋体"/>
          <w:color w:val="auto"/>
          <w:highlight w:val="none"/>
          <w:lang w:eastAsia="zh-CN"/>
        </w:rPr>
        <w:t>发包人</w:t>
      </w:r>
      <w:r>
        <w:rPr>
          <w:rFonts w:hint="eastAsia" w:ascii="宋体" w:hAnsi="宋体" w:eastAsia="宋体" w:cs="宋体"/>
          <w:color w:val="auto"/>
        </w:rPr>
        <w:t>有权单方面终止合同。</w:t>
      </w:r>
    </w:p>
    <w:p>
      <w:pPr>
        <w:pStyle w:val="48"/>
        <w:pageBreakBefore w:val="0"/>
        <w:widowControl w:val="0"/>
        <w:kinsoku/>
        <w:overflowPunct/>
        <w:topLinePunct w:val="0"/>
        <w:autoSpaceDE/>
        <w:autoSpaceDN/>
        <w:bidi w:val="0"/>
        <w:spacing w:line="360" w:lineRule="exact"/>
        <w:ind w:firstLine="42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w:t>
      </w:r>
      <w:r>
        <w:rPr>
          <w:rFonts w:hint="eastAsia" w:hAnsi="宋体" w:eastAsia="宋体" w:cs="宋体"/>
          <w:szCs w:val="21"/>
          <w:highlight w:val="none"/>
          <w:lang w:val="en-US" w:eastAsia="zh-CN"/>
        </w:rPr>
        <w:t>承包人</w:t>
      </w:r>
      <w:r>
        <w:rPr>
          <w:rFonts w:hint="eastAsia" w:ascii="宋体" w:hAnsi="宋体" w:eastAsia="宋体" w:cs="宋体"/>
          <w:szCs w:val="21"/>
          <w:highlight w:val="none"/>
          <w:lang w:val="en-US" w:eastAsia="zh-CN"/>
        </w:rPr>
        <w:t>在工程施工全过程中要认真做好产品保护。因失窃或失火造成的损失均由承包人负责，凡由此而损及</w:t>
      </w:r>
      <w:r>
        <w:rPr>
          <w:rFonts w:hint="eastAsia" w:ascii="宋体" w:hAnsi="宋体" w:eastAsia="宋体" w:cs="宋体"/>
          <w:color w:val="auto"/>
          <w:highlight w:val="none"/>
          <w:lang w:eastAsia="zh-CN"/>
        </w:rPr>
        <w:t>发包人</w:t>
      </w:r>
      <w:r>
        <w:rPr>
          <w:rFonts w:hint="eastAsia" w:ascii="宋体" w:hAnsi="宋体" w:eastAsia="宋体" w:cs="宋体"/>
          <w:szCs w:val="21"/>
          <w:highlight w:val="none"/>
          <w:lang w:val="en-US" w:eastAsia="zh-CN"/>
        </w:rPr>
        <w:t>利益时，</w:t>
      </w:r>
      <w:r>
        <w:rPr>
          <w:rFonts w:hint="eastAsia" w:ascii="宋体" w:hAnsi="宋体" w:eastAsia="宋体" w:cs="宋体"/>
          <w:color w:val="auto"/>
          <w:highlight w:val="none"/>
          <w:lang w:eastAsia="zh-CN"/>
        </w:rPr>
        <w:t>发包人</w:t>
      </w:r>
      <w:r>
        <w:rPr>
          <w:rFonts w:hint="eastAsia" w:ascii="宋体" w:hAnsi="宋体" w:eastAsia="宋体" w:cs="宋体"/>
          <w:szCs w:val="21"/>
          <w:highlight w:val="none"/>
          <w:lang w:val="en-US" w:eastAsia="zh-CN"/>
        </w:rPr>
        <w:t>将向</w:t>
      </w:r>
      <w:r>
        <w:rPr>
          <w:rFonts w:hint="eastAsia" w:hAnsi="宋体" w:eastAsia="宋体" w:cs="宋体"/>
          <w:szCs w:val="21"/>
          <w:highlight w:val="none"/>
          <w:lang w:val="en-US" w:eastAsia="zh-CN"/>
        </w:rPr>
        <w:t>承包人</w:t>
      </w:r>
      <w:r>
        <w:rPr>
          <w:rFonts w:hint="eastAsia" w:ascii="宋体" w:hAnsi="宋体" w:eastAsia="宋体" w:cs="宋体"/>
          <w:szCs w:val="21"/>
          <w:highlight w:val="none"/>
          <w:lang w:val="en-US" w:eastAsia="zh-CN"/>
        </w:rPr>
        <w:t>索赔。</w:t>
      </w:r>
    </w:p>
    <w:p>
      <w:pPr>
        <w:pStyle w:val="48"/>
        <w:ind w:firstLine="0" w:firstLineChars="0"/>
        <w:rPr>
          <w:rFonts w:ascii="宋体" w:hAnsi="宋体" w:eastAsia="宋体" w:cs="宋体"/>
          <w:b/>
          <w:bCs/>
          <w:color w:val="auto"/>
          <w:highlight w:val="none"/>
        </w:rPr>
      </w:pPr>
      <w:r>
        <w:rPr>
          <w:rFonts w:hint="eastAsia" w:ascii="宋体" w:hAnsi="宋体" w:eastAsia="宋体" w:cs="宋体"/>
          <w:b/>
          <w:bCs/>
          <w:color w:val="auto"/>
          <w:highlight w:val="none"/>
        </w:rPr>
        <w:t>▲六、拟投入</w:t>
      </w:r>
      <w:r>
        <w:rPr>
          <w:rFonts w:hint="eastAsia" w:ascii="宋体" w:hAnsi="宋体" w:eastAsia="宋体" w:cs="宋体"/>
          <w:b/>
          <w:bCs/>
          <w:color w:val="auto"/>
          <w:highlight w:val="none"/>
          <w:lang w:val="en-US" w:eastAsia="zh-CN"/>
        </w:rPr>
        <w:t>项目经理、项目技术负责人和安全负责人最低要求</w:t>
      </w:r>
      <w:r>
        <w:rPr>
          <w:rFonts w:hint="eastAsia" w:ascii="宋体" w:hAnsi="宋体" w:eastAsia="宋体" w:cs="宋体"/>
          <w:b/>
          <w:bCs/>
          <w:color w:val="auto"/>
          <w:highlight w:val="none"/>
        </w:rPr>
        <w:t>：</w:t>
      </w:r>
    </w:p>
    <w:tbl>
      <w:tblPr>
        <w:tblStyle w:val="2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31"/>
        <w:gridCol w:w="914"/>
        <w:gridCol w:w="2952"/>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2"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lang w:val="en-US" w:eastAsia="zh-CN" w:bidi="ar"/>
              </w:rPr>
              <w:t>人员</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lang w:val="en-US" w:eastAsia="zh-CN" w:bidi="ar"/>
              </w:rPr>
              <w:t>数量</w:t>
            </w: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lang w:val="en-US" w:eastAsia="zh-CN" w:bidi="ar"/>
              </w:rPr>
              <w:t>资格要求</w:t>
            </w:r>
          </w:p>
        </w:tc>
        <w:tc>
          <w:tcPr>
            <w:tcW w:w="35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lang w:val="en-US" w:eastAsia="zh-CN" w:bidi="ar"/>
              </w:rPr>
              <w:t>应附资料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293"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项目经理（即项目负责人，下同）</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1"/>
                <w:szCs w:val="21"/>
              </w:rPr>
            </w:pPr>
            <w:r>
              <w:rPr>
                <w:rFonts w:hint="default" w:ascii="Times New Roman" w:hAnsi="Times New Roman" w:eastAsia="宋体" w:cs="Times New Roman"/>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、具有公路工程专业二级及以上注册建造师证书，工程师及以上技术职称（公路工程相关专业）。</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1"/>
                <w:szCs w:val="21"/>
              </w:rPr>
            </w:pPr>
            <w:r>
              <w:rPr>
                <w:rFonts w:hint="default" w:ascii="Times New Roman" w:hAnsi="Times New Roman" w:eastAsia="宋体" w:cs="Times New Roman"/>
                <w:color w:val="auto"/>
                <w:kern w:val="2"/>
                <w:sz w:val="21"/>
                <w:szCs w:val="21"/>
                <w:lang w:val="en-US" w:eastAsia="zh-CN" w:bidi="ar"/>
              </w:rPr>
              <w:t>2</w:t>
            </w:r>
            <w:r>
              <w:rPr>
                <w:rFonts w:hint="eastAsia" w:ascii="宋体" w:hAnsi="宋体" w:eastAsia="宋体" w:cs="宋体"/>
                <w:color w:val="auto"/>
                <w:kern w:val="2"/>
                <w:sz w:val="21"/>
                <w:szCs w:val="21"/>
                <w:lang w:val="en-US" w:eastAsia="zh-CN" w:bidi="ar"/>
              </w:rPr>
              <w:t>、具有有效期内的施工企业项目负责人安全生产考核合格证书（</w:t>
            </w:r>
            <w:r>
              <w:rPr>
                <w:rFonts w:hint="default" w:ascii="Times New Roman" w:hAnsi="Times New Roman" w:eastAsia="宋体" w:cs="Times New Roman"/>
                <w:color w:val="auto"/>
                <w:kern w:val="2"/>
                <w:sz w:val="21"/>
                <w:szCs w:val="21"/>
                <w:lang w:val="en-US" w:eastAsia="zh-CN" w:bidi="ar"/>
              </w:rPr>
              <w:t>B</w:t>
            </w:r>
            <w:r>
              <w:rPr>
                <w:rFonts w:hint="eastAsia" w:ascii="宋体" w:hAnsi="宋体" w:eastAsia="宋体" w:cs="宋体"/>
                <w:color w:val="auto"/>
                <w:kern w:val="2"/>
                <w:sz w:val="21"/>
                <w:szCs w:val="21"/>
                <w:lang w:val="en-US" w:eastAsia="zh-CN" w:bidi="ar"/>
              </w:rPr>
              <w:t>类）。</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4"/>
                <w:szCs w:val="24"/>
              </w:rPr>
            </w:pPr>
            <w:r>
              <w:rPr>
                <w:rFonts w:hint="default" w:ascii="Times New Roman" w:hAnsi="Times New Roman" w:eastAsia="宋体" w:cs="Times New Roman"/>
                <w:color w:val="auto"/>
                <w:kern w:val="2"/>
                <w:sz w:val="21"/>
                <w:szCs w:val="21"/>
                <w:lang w:val="en-US" w:eastAsia="zh-CN" w:bidi="ar"/>
              </w:rPr>
              <w:t>3</w:t>
            </w:r>
            <w:r>
              <w:rPr>
                <w:rFonts w:hint="eastAsia" w:ascii="宋体" w:hAnsi="宋体" w:eastAsia="宋体" w:cs="宋体"/>
                <w:color w:val="auto"/>
                <w:kern w:val="2"/>
                <w:sz w:val="21"/>
                <w:szCs w:val="21"/>
                <w:lang w:val="en-US" w:eastAsia="zh-CN" w:bidi="ar"/>
              </w:rPr>
              <w:t>、拟委任项目经理投标截止日未在其他在建合同工程中任项目经理（包括设计施工总承包项目中的施工负责人）。</w:t>
            </w:r>
          </w:p>
        </w:tc>
        <w:tc>
          <w:tcPr>
            <w:tcW w:w="356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72" w:leftChars="20" w:right="72" w:rightChars="20" w:firstLine="0" w:firstLineChars="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highlight w:val="none"/>
                <w:lang w:val="en-US" w:eastAsia="zh-CN" w:bidi="ar"/>
              </w:rPr>
              <w:t>拟委任的项目经理、项目技术负责人和安全负责人资历表</w:t>
            </w:r>
            <w:r>
              <w:rPr>
                <w:rFonts w:hint="eastAsia" w:ascii="宋体" w:hAnsi="宋体" w:eastAsia="宋体" w:cs="宋体"/>
                <w:color w:val="auto"/>
                <w:kern w:val="2"/>
                <w:sz w:val="21"/>
                <w:szCs w:val="21"/>
                <w:lang w:val="en-US" w:eastAsia="zh-CN" w:bidi="ar"/>
              </w:rPr>
              <w:t xml:space="preserve">”应附以下资料： </w:t>
            </w:r>
          </w:p>
          <w:p>
            <w:pPr>
              <w:keepNext w:val="0"/>
              <w:keepLines w:val="0"/>
              <w:widowControl w:val="0"/>
              <w:numPr>
                <w:ilvl w:val="0"/>
                <w:numId w:val="4"/>
              </w:numPr>
              <w:suppressLineNumbers w:val="0"/>
              <w:spacing w:before="0" w:beforeAutospacing="0" w:after="0" w:afterAutospacing="0"/>
              <w:ind w:left="72" w:leftChars="20" w:right="72" w:rightChars="20" w:firstLine="0" w:firstLineChars="0"/>
              <w:jc w:val="both"/>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项目经理：身份证、职称资格证书、有效期内的施工企业项目负责人安全生产考核合格证书（B类）、建造师注册证书；项目技术负责人：身份证、职称资格证书、有效期内的施工企业项目负责人安全生产考核合格证书（B类）；安全负责人：身份证、有效期内的施工企业专职安全生产管理人员安全生产考核合格证书（C类）。</w:t>
            </w:r>
          </w:p>
          <w:p>
            <w:pPr>
              <w:keepNext w:val="0"/>
              <w:keepLines w:val="0"/>
              <w:widowControl w:val="0"/>
              <w:numPr>
                <w:ilvl w:val="0"/>
                <w:numId w:val="0"/>
              </w:numPr>
              <w:suppressLineNumbers w:val="0"/>
              <w:spacing w:before="0" w:beforeAutospacing="0" w:after="0" w:afterAutospacing="0"/>
              <w:ind w:left="72" w:leftChars="20" w:right="72" w:rightChars="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身份证应提供正反双面扫描件。</w:t>
            </w:r>
          </w:p>
          <w:p>
            <w:pPr>
              <w:keepNext w:val="0"/>
              <w:keepLines w:val="0"/>
              <w:widowControl w:val="0"/>
              <w:suppressLineNumbers w:val="0"/>
              <w:spacing w:before="0" w:beforeAutospacing="0" w:after="0" w:afterAutospacing="0"/>
              <w:ind w:left="72" w:leftChars="20" w:right="72" w:rightChars="20" w:firstLine="0" w:firstLineChars="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拟委任的项目经理的建造师注册证书、安全生产考核合格证书和项目技术负责人、安全负责人的安全生产考核合格证书上单位名称应与投标人名称一致。 </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项目经理若曾在其他在建合同工程中担任项目经理（包括设计施工总承包项目中的施工负责人）但已进行更换的，应附项目发包人的同意更换证明材料，否则更换前后的项目经理（包括设计施工总承包项目中的施工负责人）均视为有“在建合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02"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项目技术负责人</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1"/>
                <w:szCs w:val="21"/>
              </w:rPr>
            </w:pPr>
            <w:r>
              <w:rPr>
                <w:rFonts w:hint="default" w:ascii="Times New Roman" w:hAnsi="Times New Roman" w:eastAsia="宋体" w:cs="Times New Roman"/>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、有工程师及以上技术职称（公路工程相关专业）；</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kern w:val="2"/>
                <w:sz w:val="24"/>
                <w:szCs w:val="24"/>
              </w:rPr>
            </w:pPr>
            <w:r>
              <w:rPr>
                <w:rFonts w:hint="default" w:ascii="Times New Roman" w:hAnsi="Times New Roman" w:eastAsia="宋体" w:cs="Times New Roman"/>
                <w:color w:val="auto"/>
                <w:kern w:val="2"/>
                <w:sz w:val="21"/>
                <w:szCs w:val="21"/>
                <w:lang w:val="en-US" w:eastAsia="zh-CN" w:bidi="ar"/>
              </w:rPr>
              <w:t>2</w:t>
            </w:r>
            <w:r>
              <w:rPr>
                <w:rFonts w:hint="eastAsia" w:ascii="宋体" w:hAnsi="宋体" w:eastAsia="宋体" w:cs="宋体"/>
                <w:color w:val="auto"/>
                <w:kern w:val="2"/>
                <w:sz w:val="21"/>
                <w:szCs w:val="21"/>
                <w:lang w:val="en-US" w:eastAsia="zh-CN" w:bidi="ar"/>
              </w:rPr>
              <w:t>、具有有效期内的施工企业项目负责人安全生产考核合格证书（</w:t>
            </w:r>
            <w:r>
              <w:rPr>
                <w:rFonts w:hint="default" w:ascii="Times New Roman" w:hAnsi="Times New Roman" w:eastAsia="宋体" w:cs="Times New Roman"/>
                <w:color w:val="auto"/>
                <w:kern w:val="2"/>
                <w:sz w:val="21"/>
                <w:szCs w:val="21"/>
                <w:lang w:val="en-US" w:eastAsia="zh-CN" w:bidi="ar"/>
              </w:rPr>
              <w:t>B</w:t>
            </w:r>
            <w:r>
              <w:rPr>
                <w:rFonts w:hint="eastAsia" w:ascii="宋体" w:hAnsi="宋体" w:eastAsia="宋体" w:cs="宋体"/>
                <w:color w:val="auto"/>
                <w:kern w:val="2"/>
                <w:sz w:val="21"/>
                <w:szCs w:val="21"/>
                <w:lang w:val="en-US" w:eastAsia="zh-CN" w:bidi="ar"/>
              </w:rPr>
              <w:t>类）。</w:t>
            </w:r>
          </w:p>
        </w:tc>
        <w:tc>
          <w:tcPr>
            <w:tcW w:w="356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85" w:hRule="atLeast"/>
          <w:jc w:val="center"/>
        </w:trPr>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安全负责人</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29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auto"/>
                <w:spacing w:val="-4"/>
                <w:kern w:val="2"/>
                <w:sz w:val="21"/>
                <w:szCs w:val="21"/>
              </w:rPr>
            </w:pPr>
            <w:r>
              <w:rPr>
                <w:rFonts w:hint="eastAsia" w:ascii="宋体" w:hAnsi="宋体" w:eastAsia="宋体" w:cs="宋体"/>
                <w:color w:val="auto"/>
                <w:kern w:val="2"/>
                <w:sz w:val="21"/>
                <w:szCs w:val="21"/>
                <w:lang w:val="en-US" w:eastAsia="zh-CN" w:bidi="ar"/>
              </w:rPr>
              <w:t>具有有效期内的施工企业专职安全生产管理人员安全生产考核合格证书（</w:t>
            </w:r>
            <w:r>
              <w:rPr>
                <w:rFonts w:hint="default" w:ascii="Times New Roman" w:hAnsi="Times New Roman" w:eastAsia="宋体" w:cs="Times New Roman"/>
                <w:color w:val="auto"/>
                <w:kern w:val="2"/>
                <w:sz w:val="21"/>
                <w:szCs w:val="21"/>
                <w:lang w:val="en-US" w:eastAsia="zh-CN" w:bidi="ar"/>
              </w:rPr>
              <w:t>C</w:t>
            </w:r>
            <w:r>
              <w:rPr>
                <w:rFonts w:hint="eastAsia" w:ascii="宋体" w:hAnsi="宋体" w:eastAsia="宋体" w:cs="宋体"/>
                <w:color w:val="auto"/>
                <w:kern w:val="2"/>
                <w:sz w:val="21"/>
                <w:szCs w:val="21"/>
                <w:lang w:val="en-US" w:eastAsia="zh-CN" w:bidi="ar"/>
              </w:rPr>
              <w:t>类）。</w:t>
            </w:r>
          </w:p>
        </w:tc>
        <w:tc>
          <w:tcPr>
            <w:tcW w:w="356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bl>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注：</w:t>
      </w:r>
      <w:r>
        <w:rPr>
          <w:rFonts w:hint="eastAsia" w:ascii="宋体" w:hAnsi="宋体" w:eastAsia="宋体" w:cs="宋体"/>
          <w:sz w:val="18"/>
          <w:szCs w:val="18"/>
          <w:lang w:val="en-US" w:eastAsia="zh-CN"/>
        </w:rPr>
        <w:t>1.</w:t>
      </w:r>
      <w:r>
        <w:rPr>
          <w:rFonts w:hint="eastAsia" w:ascii="宋体" w:hAnsi="宋体" w:eastAsia="宋体" w:cs="宋体"/>
          <w:sz w:val="18"/>
          <w:szCs w:val="18"/>
        </w:rPr>
        <w:t>在建合同工程的的开始时间为合同工程中标通知书发出之日（不通过招标方式的，开始时间为合同签订之日），结束时间为该合同工程通过交工验收或合同解除之日。</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该拟委任项目经理是否有“在建合同工程”按以下原则认定：</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（1）若合同协议书尚未签订，则中标通知书中明确的项目经理和备选项目经理均视为有“在建合同工程”。</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（2）若合同协议书已签订的，则仅合同协议书中明确的项目经理视为有“在建合同工程”。</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3）在建合同工程未通过验收或合同解除前，合同协议书中明确的项目经理已经更换的，则现任项目经理视为有“在建合同工程”，同时应在投标文件中附项目发包人的同意更换证明材料，否则更换前后的项目经理均视为有“在建合同工程”。</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“在建合同工程”范围：包括在中华人民共和国境内的所有建设工程，不受地域、行业和投资性质的限制。</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4.所附资料见上表规定，未按要求提供的按无效标处理。</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5.（1）投标人拟派项目经理的一级建造师注册证书，须提供电子证书打印件。投标人一级建造师电子证书须执行住房和城乡建设部的文件（建办市〔2021〕40号）的相关规定。一级建造师电子证书打印后，应在个人签名处手写本人签名，未手写签名或与签名图像笔迹不一致的，该电子证书无效。</w:t>
      </w:r>
    </w:p>
    <w:p>
      <w:pPr>
        <w:pStyle w:val="35"/>
        <w:spacing w:line="400" w:lineRule="exact"/>
        <w:rPr>
          <w:rFonts w:hint="eastAsia" w:ascii="宋体" w:hAnsi="宋体" w:eastAsia="宋体" w:cs="宋体"/>
          <w:sz w:val="18"/>
          <w:szCs w:val="18"/>
        </w:rPr>
      </w:pPr>
      <w:r>
        <w:rPr>
          <w:rFonts w:hint="eastAsia" w:ascii="宋体" w:hAnsi="宋体" w:eastAsia="宋体" w:cs="宋体"/>
          <w:sz w:val="18"/>
          <w:szCs w:val="18"/>
        </w:rPr>
        <w:t>（2）若投标人拟派项目经理为二级建造师的，可提供纸质证书扫描件或电子证书打印件。</w:t>
      </w:r>
    </w:p>
    <w:p>
      <w:pPr>
        <w:pStyle w:val="35"/>
        <w:spacing w:line="400" w:lineRule="exact"/>
        <w:rPr>
          <w:rFonts w:hAnsi="宋体"/>
          <w:b/>
          <w:sz w:val="21"/>
          <w:szCs w:val="21"/>
        </w:rPr>
      </w:pPr>
      <w:r>
        <w:rPr>
          <w:rFonts w:hint="eastAsia" w:ascii="宋体" w:hAnsi="宋体" w:eastAsia="宋体" w:cs="宋体"/>
          <w:b/>
          <w:sz w:val="21"/>
          <w:szCs w:val="21"/>
        </w:rPr>
        <w:t>▲</w:t>
      </w:r>
      <w:r>
        <w:rPr>
          <w:rFonts w:hint="eastAsia" w:ascii="宋体" w:hAnsi="宋体" w:eastAsia="宋体" w:cs="宋体"/>
          <w:b/>
          <w:sz w:val="21"/>
          <w:szCs w:val="21"/>
          <w:lang w:val="en-US"/>
        </w:rPr>
        <w:t>七、</w:t>
      </w:r>
      <w:r>
        <w:rPr>
          <w:rFonts w:hint="eastAsia" w:ascii="宋体" w:hAnsi="宋体"/>
          <w:b/>
          <w:bCs/>
          <w:sz w:val="21"/>
          <w:szCs w:val="21"/>
        </w:rPr>
        <w:t>商务要求：</w:t>
      </w:r>
    </w:p>
    <w:tbl>
      <w:tblPr>
        <w:tblStyle w:val="24"/>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3"/>
        <w:gridCol w:w="7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rPr>
            </w:pPr>
            <w:r>
              <w:rPr>
                <w:rFonts w:hint="eastAsia" w:ascii="宋体" w:hAnsi="宋体" w:eastAsia="宋体" w:cs="宋体"/>
                <w:sz w:val="21"/>
                <w:szCs w:val="21"/>
              </w:rPr>
              <w:t>服务期限</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 xml:space="preserve"> 8个月</w:t>
            </w:r>
            <w:r>
              <w:rPr>
                <w:rFonts w:hint="eastAsia" w:ascii="宋体" w:hAnsi="宋体" w:eastAsia="宋体" w:cs="宋体"/>
                <w:sz w:val="21"/>
                <w:szCs w:val="21"/>
                <w:highlight w:val="none"/>
              </w:rPr>
              <w:t xml:space="preserve"> （具体开工日期由</w:t>
            </w:r>
            <w:r>
              <w:rPr>
                <w:rFonts w:hint="eastAsia" w:ascii="宋体" w:hAnsi="宋体" w:eastAsia="宋体" w:cs="宋体"/>
                <w:sz w:val="21"/>
                <w:szCs w:val="21"/>
                <w:highlight w:val="none"/>
                <w:lang w:eastAsia="zh-CN"/>
              </w:rPr>
              <w:t>发包人</w:t>
            </w:r>
            <w:r>
              <w:rPr>
                <w:rFonts w:hint="eastAsia" w:ascii="宋体" w:hAnsi="宋体" w:eastAsia="宋体" w:cs="宋体"/>
                <w:sz w:val="21"/>
                <w:szCs w:val="21"/>
                <w:highlight w:val="none"/>
              </w:rPr>
              <w:t>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rPr>
            </w:pPr>
            <w:r>
              <w:rPr>
                <w:rFonts w:hint="eastAsia" w:ascii="宋体" w:hAnsi="宋体" w:eastAsia="宋体" w:cs="宋体"/>
                <w:sz w:val="21"/>
                <w:szCs w:val="21"/>
              </w:rPr>
              <w:t>质量目标</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highlight w:val="none"/>
              </w:rPr>
            </w:pPr>
            <w:r>
              <w:rPr>
                <w:rFonts w:hint="default" w:ascii="宋体" w:hAnsi="宋体" w:eastAsia="宋体" w:cs="宋体"/>
                <w:sz w:val="21"/>
                <w:szCs w:val="21"/>
                <w:highlight w:val="none"/>
              </w:rPr>
              <w:t>标段工程交工验收的质量评定：合格；标段工程竣工验收的质量评定：</w:t>
            </w:r>
            <w:r>
              <w:rPr>
                <w:rFonts w:hint="eastAsia" w:ascii="宋体" w:hAnsi="宋体" w:eastAsia="宋体" w:cs="宋体"/>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sz w:val="21"/>
                <w:szCs w:val="21"/>
              </w:rPr>
            </w:pPr>
            <w:r>
              <w:rPr>
                <w:rFonts w:hint="eastAsia" w:ascii="宋体" w:hAnsi="宋体" w:eastAsia="宋体" w:cs="宋体"/>
                <w:bCs/>
                <w:sz w:val="21"/>
                <w:szCs w:val="21"/>
              </w:rPr>
              <w:t>缺陷责任期</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rPr>
            </w:pPr>
            <w:r>
              <w:rPr>
                <w:rFonts w:hint="eastAsia" w:ascii="宋体" w:hAnsi="宋体" w:eastAsia="宋体" w:cs="宋体"/>
                <w:sz w:val="21"/>
                <w:szCs w:val="21"/>
              </w:rPr>
              <w:t>自实际交工日期（交工证书颁发之日）起计算</w:t>
            </w:r>
            <w:r>
              <w:rPr>
                <w:rFonts w:hint="eastAsia" w:ascii="宋体" w:hAnsi="宋体" w:eastAsia="宋体" w:cs="宋体"/>
                <w:sz w:val="21"/>
                <w:szCs w:val="21"/>
                <w:lang w:val="en-US" w:eastAsia="zh-CN"/>
              </w:rPr>
              <w:t>1</w:t>
            </w:r>
            <w:r>
              <w:rPr>
                <w:rFonts w:hint="eastAsia" w:ascii="宋体" w:hAnsi="宋体" w:eastAsia="宋体" w:cs="宋体"/>
                <w:sz w:val="21"/>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sz w:val="21"/>
                <w:szCs w:val="21"/>
              </w:rPr>
            </w:pPr>
            <w:r>
              <w:rPr>
                <w:rFonts w:hint="eastAsia" w:ascii="宋体" w:hAnsi="宋体" w:eastAsia="宋体" w:cs="宋体"/>
                <w:sz w:val="21"/>
                <w:szCs w:val="21"/>
              </w:rPr>
              <w:t>保修期</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sz w:val="21"/>
                <w:szCs w:val="21"/>
              </w:rPr>
            </w:pPr>
            <w:r>
              <w:rPr>
                <w:rFonts w:hint="eastAsia" w:ascii="宋体" w:hAnsi="宋体" w:eastAsia="宋体" w:cs="宋体"/>
                <w:sz w:val="21"/>
                <w:szCs w:val="21"/>
                <w:lang w:val="en-US" w:eastAsia="zh-CN"/>
              </w:rPr>
              <w:t>自实际交工日期起计算1年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bCs/>
                <w:sz w:val="21"/>
                <w:szCs w:val="21"/>
              </w:rPr>
            </w:pPr>
            <w:r>
              <w:rPr>
                <w:rFonts w:hint="eastAsia" w:ascii="宋体" w:hAnsi="宋体" w:eastAsia="宋体" w:cs="宋体"/>
                <w:bCs/>
                <w:sz w:val="21"/>
                <w:szCs w:val="21"/>
              </w:rPr>
              <w:t>履约保证金的收取及退还</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1.承包人</w:t>
            </w:r>
            <w:r>
              <w:rPr>
                <w:rFonts w:hint="eastAsia" w:ascii="宋体" w:hAnsi="宋体" w:eastAsia="宋体" w:cs="宋体"/>
                <w:sz w:val="21"/>
                <w:szCs w:val="21"/>
              </w:rPr>
              <w:t>向</w:t>
            </w:r>
            <w:r>
              <w:rPr>
                <w:rFonts w:hint="eastAsia" w:ascii="宋体" w:hAnsi="宋体" w:eastAsia="宋体" w:cs="宋体"/>
                <w:sz w:val="21"/>
                <w:szCs w:val="21"/>
                <w:lang w:eastAsia="zh-CN"/>
              </w:rPr>
              <w:t>发包人</w:t>
            </w:r>
            <w:r>
              <w:rPr>
                <w:rFonts w:hint="eastAsia" w:ascii="宋体" w:hAnsi="宋体" w:eastAsia="宋体" w:cs="宋体"/>
                <w:sz w:val="21"/>
                <w:szCs w:val="21"/>
              </w:rPr>
              <w:t>提供履约担保，担保方式为： 现金、转账、及</w:t>
            </w:r>
            <w:r>
              <w:rPr>
                <w:rFonts w:hint="eastAsia" w:ascii="宋体" w:hAnsi="宋体" w:eastAsia="宋体" w:cs="宋体"/>
                <w:sz w:val="21"/>
                <w:szCs w:val="21"/>
                <w:lang w:eastAsia="zh-CN"/>
              </w:rPr>
              <w:t>发包人</w:t>
            </w:r>
            <w:r>
              <w:rPr>
                <w:rFonts w:hint="eastAsia" w:ascii="宋体" w:hAnsi="宋体" w:eastAsia="宋体" w:cs="宋体"/>
                <w:sz w:val="21"/>
                <w:szCs w:val="21"/>
              </w:rPr>
              <w:t>认可的</w:t>
            </w:r>
            <w:r>
              <w:rPr>
                <w:rFonts w:hint="eastAsia" w:ascii="宋体" w:hAnsi="宋体" w:eastAsia="宋体" w:cs="宋体"/>
                <w:sz w:val="21"/>
                <w:szCs w:val="21"/>
                <w:lang w:val="en-US" w:eastAsia="zh-CN"/>
              </w:rPr>
              <w:t>担保</w:t>
            </w:r>
            <w:r>
              <w:rPr>
                <w:rFonts w:hint="eastAsia" w:ascii="宋体" w:hAnsi="宋体" w:eastAsia="宋体" w:cs="宋体"/>
                <w:sz w:val="21"/>
                <w:szCs w:val="21"/>
              </w:rPr>
              <w:t>形式（如银行保函、保险机构保证保险保单和融资担保公司保函 ），担保合同作为合同附件</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如履约保证金采用现金或转账方式缴纳的，履约保证金按银行同期存款利率计息，利息随履约保证金退还时同时退还。</w:t>
            </w:r>
            <w:r>
              <w:rPr>
                <w:rFonts w:hint="eastAsia" w:ascii="宋体" w:hAnsi="宋体" w:eastAsia="宋体" w:cs="宋体"/>
                <w:sz w:val="21"/>
                <w:szCs w:val="21"/>
                <w:highlight w:val="none"/>
              </w:rPr>
              <w:t>担保额度：合同价的</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承包人</w:t>
            </w:r>
            <w:r>
              <w:rPr>
                <w:rFonts w:hint="eastAsia" w:ascii="宋体" w:hAnsi="宋体" w:eastAsia="宋体" w:cs="宋体"/>
                <w:sz w:val="21"/>
                <w:szCs w:val="21"/>
                <w:highlight w:val="none"/>
              </w:rPr>
              <w:t>应按合同规定向</w:t>
            </w:r>
            <w:r>
              <w:rPr>
                <w:rFonts w:hint="eastAsia" w:ascii="宋体" w:hAnsi="宋体" w:eastAsia="宋体" w:cs="宋体"/>
                <w:sz w:val="21"/>
                <w:szCs w:val="21"/>
                <w:highlight w:val="none"/>
                <w:lang w:eastAsia="zh-CN"/>
              </w:rPr>
              <w:t>发包人</w:t>
            </w:r>
            <w:r>
              <w:rPr>
                <w:rFonts w:hint="eastAsia" w:ascii="宋体" w:hAnsi="宋体" w:eastAsia="宋体" w:cs="宋体"/>
                <w:sz w:val="21"/>
                <w:szCs w:val="21"/>
                <w:highlight w:val="none"/>
              </w:rPr>
              <w:t>提交履约保证金。</w:t>
            </w:r>
          </w:p>
          <w:p>
            <w:pPr>
              <w:keepNext w:val="0"/>
              <w:keepLines w:val="0"/>
              <w:suppressLineNumbers w:val="0"/>
              <w:snapToGrid w:val="0"/>
              <w:spacing w:before="0" w:beforeAutospacing="0" w:after="0" w:afterAutospacing="0" w:line="400" w:lineRule="exact"/>
              <w:ind w:left="0" w:right="0"/>
              <w:jc w:val="left"/>
              <w:rPr>
                <w:rFonts w:hint="default"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color w:val="auto"/>
                <w:kern w:val="0"/>
                <w:sz w:val="21"/>
                <w:szCs w:val="21"/>
                <w:lang w:val="zh-CN"/>
              </w:rPr>
              <w:t>工程竣工验收合格后无息退还</w:t>
            </w:r>
            <w:r>
              <w:rPr>
                <w:rFonts w:hint="eastAsia" w:ascii="宋体" w:hAnsi="宋体" w:eastAsia="宋体" w:cs="宋体"/>
                <w:color w:val="000000"/>
                <w:sz w:val="21"/>
                <w:szCs w:val="21"/>
                <w:highlight w:val="none"/>
                <w:lang w:val="en-US" w:eastAsia="zh-CN"/>
              </w:rPr>
              <w:t>，履约保证金一次性无息返还给承包人</w:t>
            </w:r>
            <w:r>
              <w:rPr>
                <w:rFonts w:hint="eastAsia" w:ascii="宋体" w:hAnsi="宋体" w:cs="宋体"/>
                <w:color w:val="000000"/>
                <w:sz w:val="21"/>
                <w:szCs w:val="21"/>
                <w:highlight w:val="none"/>
                <w:lang w:val="en-US" w:eastAsia="zh-CN"/>
              </w:rPr>
              <w:t>；</w:t>
            </w:r>
            <w:r>
              <w:rPr>
                <w:rFonts w:hint="default" w:ascii="宋体" w:hAnsi="宋体" w:eastAsia="宋体"/>
                <w:sz w:val="21"/>
              </w:rPr>
              <w:t>承包人应保证履约担保在</w:t>
            </w:r>
            <w:r>
              <w:rPr>
                <w:rFonts w:hint="eastAsia" w:ascii="宋体" w:hAnsi="宋体" w:eastAsia="宋体" w:cs="宋体"/>
                <w:color w:val="auto"/>
                <w:kern w:val="0"/>
                <w:sz w:val="21"/>
                <w:szCs w:val="21"/>
                <w:lang w:val="en-US" w:eastAsia="zh-CN"/>
              </w:rPr>
              <w:t>竣</w:t>
            </w:r>
            <w:r>
              <w:rPr>
                <w:rFonts w:hint="eastAsia" w:ascii="宋体" w:hAnsi="宋体" w:eastAsia="宋体" w:cs="宋体"/>
                <w:color w:val="auto"/>
                <w:kern w:val="0"/>
                <w:sz w:val="21"/>
                <w:szCs w:val="21"/>
                <w:lang w:val="zh-CN"/>
              </w:rPr>
              <w:t>工验收合格</w:t>
            </w:r>
            <w:r>
              <w:rPr>
                <w:rFonts w:hint="default" w:ascii="宋体" w:hAnsi="宋体" w:eastAsia="宋体"/>
                <w:sz w:val="21"/>
              </w:rPr>
              <w:t>前持续有效。</w:t>
            </w:r>
            <w:r>
              <w:rPr>
                <w:rFonts w:hint="eastAsia" w:ascii="宋体" w:hAnsi="宋体" w:eastAsia="宋体" w:cs="宋体"/>
                <w:color w:val="auto"/>
                <w:sz w:val="21"/>
                <w:szCs w:val="21"/>
                <w:highlight w:val="none"/>
              </w:rPr>
              <w:t>如</w:t>
            </w:r>
            <w:r>
              <w:rPr>
                <w:rFonts w:hint="eastAsia" w:ascii="宋体" w:hAnsi="宋体" w:eastAsia="宋体" w:cs="宋体"/>
                <w:color w:val="auto"/>
                <w:sz w:val="21"/>
                <w:szCs w:val="21"/>
                <w:highlight w:val="none"/>
                <w:lang w:val="en-US" w:eastAsia="zh-CN"/>
              </w:rPr>
              <w:t>承包人</w:t>
            </w:r>
            <w:r>
              <w:rPr>
                <w:rFonts w:hint="eastAsia" w:ascii="宋体" w:hAnsi="宋体" w:eastAsia="宋体" w:cs="宋体"/>
                <w:color w:val="auto"/>
                <w:sz w:val="21"/>
                <w:szCs w:val="21"/>
                <w:highlight w:val="none"/>
              </w:rPr>
              <w:t>原因造成合同中止，履约担保金不返还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w:t>
            </w:r>
            <w:r>
              <w:rPr>
                <w:rFonts w:hint="eastAsia" w:ascii="宋体" w:hAnsi="宋体" w:eastAsia="宋体" w:cs="宋体"/>
                <w:color w:val="auto"/>
                <w:sz w:val="21"/>
                <w:szCs w:val="21"/>
                <w:highlight w:val="none"/>
                <w:lang w:val="en-US" w:eastAsia="zh-CN"/>
              </w:rPr>
              <w:t>承包人</w:t>
            </w:r>
            <w:r>
              <w:rPr>
                <w:rFonts w:hint="eastAsia" w:ascii="宋体" w:hAnsi="宋体" w:eastAsia="宋体" w:cs="宋体"/>
                <w:color w:val="auto"/>
                <w:sz w:val="21"/>
                <w:szCs w:val="21"/>
                <w:highlight w:val="none"/>
              </w:rPr>
              <w:t>不能按承诺和合同要求履约，</w:t>
            </w:r>
            <w:r>
              <w:rPr>
                <w:rFonts w:hint="eastAsia" w:ascii="宋体" w:hAnsi="宋体" w:eastAsia="宋体" w:cs="宋体"/>
                <w:color w:val="auto"/>
                <w:sz w:val="21"/>
                <w:szCs w:val="21"/>
                <w:highlight w:val="none"/>
                <w:lang w:eastAsia="zh-CN"/>
              </w:rPr>
              <w:t>发包人</w:t>
            </w:r>
            <w:r>
              <w:rPr>
                <w:rFonts w:hint="eastAsia" w:ascii="宋体" w:hAnsi="宋体" w:eastAsia="宋体" w:cs="宋体"/>
                <w:color w:val="auto"/>
                <w:sz w:val="21"/>
                <w:szCs w:val="21"/>
                <w:highlight w:val="none"/>
              </w:rPr>
              <w:t>将有权扣除相应甚至全部履约保证金。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sz w:val="21"/>
                <w:szCs w:val="21"/>
                <w:highlight w:val="none"/>
              </w:rPr>
            </w:pPr>
            <w:r>
              <w:rPr>
                <w:rFonts w:hint="eastAsia" w:ascii="宋体" w:hAnsi="宋体" w:eastAsia="宋体" w:cs="宋体"/>
                <w:sz w:val="21"/>
                <w:szCs w:val="21"/>
                <w:highlight w:val="none"/>
              </w:rPr>
              <w:t>付款方式</w:t>
            </w:r>
          </w:p>
        </w:tc>
        <w:tc>
          <w:tcPr>
            <w:tcW w:w="7247"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line="420" w:lineRule="exact"/>
              <w:ind w:left="0" w:right="0"/>
              <w:jc w:val="lef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cs="宋体"/>
                <w:kern w:val="2"/>
                <w:sz w:val="21"/>
                <w:szCs w:val="21"/>
                <w:highlight w:val="none"/>
                <w:lang w:val="en-US" w:eastAsia="zh-CN" w:bidi="ar-SA"/>
              </w:rPr>
              <w:t>开工预付款的金额为签约合同价的40%（其中签约合同价的1%，作为农民工工资预付款），在合同生效，承包人人员设备进场后7个工作日内支付。每月凭业主、监理工程师的签证付工程款一次，额度为该月实际完成经计量的合格工程量工程款的85%（包括40%的开工预付款）；交工验收达到要求的质量标准等级后付至合格工程量工程款的90%（包括40%的开工预付款）；结算经有资质的审价机构审定后，付至工程结算价的98.5%，</w:t>
            </w:r>
            <w:r>
              <w:rPr>
                <w:rFonts w:hint="eastAsia" w:ascii="宋体" w:hAnsi="宋体" w:eastAsia="宋体" w:cs="宋体"/>
                <w:kern w:val="2"/>
                <w:sz w:val="21"/>
                <w:szCs w:val="21"/>
                <w:highlight w:val="none"/>
                <w:lang w:val="en-US" w:eastAsia="zh-CN" w:bidi="ar-SA"/>
              </w:rPr>
              <w:t>剩余1.5%在一年后无质量问题、无违约行为的情况下15日内付清。（</w:t>
            </w:r>
            <w:r>
              <w:rPr>
                <w:rFonts w:hint="eastAsia" w:ascii="宋体" w:hAnsi="宋体" w:cs="宋体"/>
                <w:kern w:val="2"/>
                <w:sz w:val="21"/>
                <w:szCs w:val="21"/>
                <w:highlight w:val="none"/>
                <w:lang w:val="en-US" w:eastAsia="zh-CN" w:bidi="ar-SA"/>
              </w:rPr>
              <w:t>余下1.5%若承包人采用银行保函、保险机构保证保险保单和融资担保公司保函等形式向发包人提供与缺陷责任期时间一致的工程保函后（保函或保单的费用由承包人自行承担），可付至工程结算价的100%。</w:t>
            </w:r>
            <w:r>
              <w:rPr>
                <w:rFonts w:hint="eastAsia" w:ascii="宋体" w:hAnsi="宋体" w:eastAsia="宋体" w:cs="宋体"/>
                <w:kern w:val="2"/>
                <w:sz w:val="21"/>
                <w:szCs w:val="21"/>
                <w:highlight w:val="none"/>
                <w:lang w:val="en-US" w:eastAsia="zh-CN" w:bidi="ar-SA"/>
              </w:rPr>
              <w:t>）</w:t>
            </w:r>
          </w:p>
          <w:p>
            <w:pPr>
              <w:keepNext w:val="0"/>
              <w:keepLines w:val="0"/>
              <w:suppressLineNumbers w:val="0"/>
              <w:spacing w:before="0" w:beforeAutospacing="0" w:after="0" w:afterAutospacing="0" w:line="420" w:lineRule="exact"/>
              <w:ind w:left="0" w:right="0"/>
              <w:jc w:val="left"/>
              <w:rPr>
                <w:rFonts w:hint="default" w:ascii="宋体" w:hAnsi="宋体" w:eastAsia="宋体" w:cs="宋体"/>
                <w:sz w:val="21"/>
                <w:szCs w:val="21"/>
                <w:highlight w:val="none"/>
              </w:rPr>
            </w:pPr>
            <w:r>
              <w:rPr>
                <w:rFonts w:hint="eastAsia" w:ascii="宋体" w:hAnsi="宋体" w:eastAsia="宋体" w:cs="宋体"/>
                <w:sz w:val="21"/>
                <w:szCs w:val="21"/>
                <w:highlight w:val="none"/>
              </w:rPr>
              <w:t>2.承包人须开具正规合法的建筑增值税发票提供给</w:t>
            </w:r>
            <w:r>
              <w:rPr>
                <w:rFonts w:hint="eastAsia" w:ascii="宋体" w:hAnsi="宋体" w:eastAsia="宋体" w:cs="宋体"/>
                <w:sz w:val="21"/>
                <w:szCs w:val="21"/>
                <w:highlight w:val="none"/>
                <w:lang w:eastAsia="zh-CN"/>
              </w:rPr>
              <w:t>发包人</w:t>
            </w:r>
            <w:r>
              <w:rPr>
                <w:rFonts w:hint="eastAsia" w:ascii="宋体" w:hAnsi="宋体" w:eastAsia="宋体" w:cs="宋体"/>
                <w:sz w:val="21"/>
                <w:szCs w:val="21"/>
                <w:highlight w:val="none"/>
              </w:rPr>
              <w:t>。</w:t>
            </w:r>
          </w:p>
          <w:p>
            <w:pPr>
              <w:keepNext w:val="0"/>
              <w:keepLines w:val="0"/>
              <w:suppressLineNumbers w:val="0"/>
              <w:spacing w:before="0" w:beforeAutospacing="0" w:after="0" w:afterAutospacing="0" w:line="420" w:lineRule="exact"/>
              <w:ind w:left="0" w:right="0"/>
              <w:jc w:val="left"/>
              <w:rPr>
                <w:rFonts w:hint="default" w:ascii="宋体" w:hAnsi="宋体" w:eastAsia="宋体" w:cs="宋体"/>
                <w:sz w:val="21"/>
                <w:szCs w:val="21"/>
                <w:highlight w:val="none"/>
              </w:rPr>
            </w:pPr>
            <w:r>
              <w:rPr>
                <w:rFonts w:hint="eastAsia" w:ascii="宋体" w:hAnsi="宋体" w:eastAsia="宋体" w:cs="宋体"/>
                <w:sz w:val="21"/>
                <w:szCs w:val="21"/>
                <w:highlight w:val="none"/>
              </w:rPr>
              <w:t>3.在项目实施中</w:t>
            </w:r>
            <w:r>
              <w:rPr>
                <w:rFonts w:hint="eastAsia" w:ascii="宋体" w:hAnsi="宋体" w:eastAsia="宋体" w:cs="宋体"/>
                <w:sz w:val="21"/>
                <w:szCs w:val="21"/>
                <w:highlight w:val="none"/>
                <w:lang w:eastAsia="zh-CN"/>
              </w:rPr>
              <w:t>发包人</w:t>
            </w:r>
            <w:r>
              <w:rPr>
                <w:rFonts w:hint="eastAsia" w:ascii="宋体" w:hAnsi="宋体" w:eastAsia="宋体" w:cs="宋体"/>
                <w:sz w:val="21"/>
                <w:szCs w:val="21"/>
                <w:highlight w:val="none"/>
              </w:rPr>
              <w:t>有工作量增减需要的，在竣工结算时以出具的有效联系单为准，列入竣工结算款项，无甲方书面明确要求的，乙方不得擅自调整或变更。</w:t>
            </w:r>
          </w:p>
        </w:tc>
      </w:tr>
    </w:tbl>
    <w:p>
      <w:pPr>
        <w:numPr>
          <w:ilvl w:val="0"/>
          <w:numId w:val="0"/>
        </w:numPr>
        <w:spacing w:line="400" w:lineRule="exact"/>
        <w:rPr>
          <w:rFonts w:ascii="宋体" w:hAnsi="宋体"/>
          <w:b/>
          <w:bCs/>
          <w:sz w:val="21"/>
          <w:szCs w:val="21"/>
        </w:rPr>
      </w:pPr>
      <w:r>
        <w:rPr>
          <w:rFonts w:hint="eastAsia" w:ascii="宋体" w:hAnsi="宋体" w:eastAsia="宋体"/>
          <w:b/>
          <w:bCs/>
          <w:sz w:val="21"/>
          <w:szCs w:val="21"/>
          <w:lang w:val="en-US" w:eastAsia="zh-CN"/>
        </w:rPr>
        <w:t>八、</w:t>
      </w:r>
      <w:r>
        <w:rPr>
          <w:rFonts w:hint="eastAsia" w:ascii="宋体" w:hAnsi="宋体"/>
          <w:b/>
          <w:bCs/>
          <w:sz w:val="21"/>
          <w:szCs w:val="21"/>
        </w:rPr>
        <w:t>工程量清单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bookmarkStart w:id="29" w:name="_Toc1773"/>
      <w:bookmarkStart w:id="30" w:name="_Toc19606"/>
      <w:bookmarkStart w:id="31" w:name="_Toc66726528"/>
      <w:bookmarkStart w:id="32" w:name="_Toc239671864"/>
      <w:bookmarkStart w:id="33" w:name="_Toc48"/>
      <w:bookmarkStart w:id="34" w:name="_Toc29559"/>
      <w:bookmarkStart w:id="35" w:name="_Toc238900332"/>
      <w:bookmarkStart w:id="36" w:name="_Toc816"/>
      <w:bookmarkStart w:id="37" w:name="_Toc4407"/>
      <w:bookmarkStart w:id="38" w:name="_Toc31037"/>
      <w:r>
        <w:rPr>
          <w:rFonts w:hint="eastAsia" w:ascii="宋体" w:hAnsi="宋体" w:eastAsia="宋体" w:cs="宋体"/>
          <w:sz w:val="21"/>
          <w:szCs w:val="21"/>
          <w:lang w:eastAsia="zh-CN"/>
        </w:rPr>
        <w:t>、</w:t>
      </w:r>
      <w:r>
        <w:rPr>
          <w:rFonts w:hint="eastAsia" w:ascii="宋体" w:hAnsi="宋体" w:eastAsia="宋体" w:cs="宋体"/>
          <w:sz w:val="21"/>
          <w:szCs w:val="21"/>
        </w:rPr>
        <w:t>工程量清单说明</w:t>
      </w:r>
      <w:bookmarkEnd w:id="29"/>
      <w:bookmarkEnd w:id="30"/>
      <w:bookmarkEnd w:id="31"/>
      <w:bookmarkEnd w:id="32"/>
      <w:bookmarkEnd w:id="33"/>
      <w:bookmarkEnd w:id="34"/>
      <w:bookmarkEnd w:id="35"/>
      <w:bookmarkEnd w:id="36"/>
      <w:bookmarkEnd w:id="37"/>
      <w:bookmarkEnd w:id="38"/>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  本工程量清单是根据招标文件中包括的、有合同约束力的图纸以及有关工程量清单的国家标准、地方标准、行业标准、合同条款中约定的工程量计算规则编制；约定计量规划中没有的子目，其工程量按照有合同约束力的图纸所标示的理论净量计算，计量采用中华人民共和国法定计量单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  本工程量清单应与招标文件中的投标人须知、通用合同条款、专用合同条款、技术规范及图纸等一起阅读和理解。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  本工程量清单中所列工程数量是估算的或是预计的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1.4  工程量清单各章是按</w:t>
      </w:r>
      <w:r>
        <w:rPr>
          <w:rFonts w:hint="eastAsia" w:ascii="宋体" w:hAnsi="宋体" w:eastAsia="宋体" w:cs="宋体"/>
          <w:sz w:val="21"/>
          <w:szCs w:val="21"/>
          <w:lang w:val="en-US" w:eastAsia="zh-CN"/>
        </w:rPr>
        <w:t>九、</w:t>
      </w:r>
      <w:r>
        <w:rPr>
          <w:rFonts w:hint="eastAsia" w:ascii="宋体" w:hAnsi="宋体" w:eastAsia="宋体" w:cs="宋体"/>
          <w:sz w:val="21"/>
          <w:szCs w:val="21"/>
        </w:rPr>
        <w:t>“技术规范”的相应章次编号的。因此，工程量清单中各章的工程子目的范围与计量等应与“技术规范”的相应章节的范围、计量与支付条款结合起来理解或解释。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 未修改或补充的技术规范未写入项目专用技术规范内，在给工程量清单各子目标价前，应参阅第七章“通用技术规范”的有关内容。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1.6  工程量清单中所列工程量的变动，丝毫不会降低或影响合同条款的效力，也不免除承包人按规定的标准进行施工和修复缺陷的责任。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1.7  图纸中所列的工程数量表及数量汇总表仅是提供资料，不是工程量清单的外延。当图纸与工程量清单所列数量不一致时，以工程量清单所列数量作为报价的依据。</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2．投标报价说明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  工程量清单中的每一子目须填入单价或价格，且只允许有一个报价。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  工程量清单中投标人没有填入单价或价格的子目，其费用视为已分摊在工程量清单中其它相关子目的单价或价格之中。承包人必须按监理人指令完成工程量清单中未填入单价或价格的子目，但不能得到结算与支付。</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2.5  承包人用于本合同工程的各类装备的提供、运输、维护、拆卸、拼装等支付的费用，已包括在工程量清单的单价与总额价之中。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2.6  工程量清单中各项金额均以人民币（元）结算。</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2.7  暂列金额的数量及拟用子目的说明：  /   。</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rPr>
        <w:t>．其它说明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 本项目</w:t>
      </w:r>
      <w:r>
        <w:rPr>
          <w:rFonts w:hint="eastAsia" w:ascii="宋体" w:hAnsi="宋体" w:eastAsia="宋体" w:cs="宋体"/>
          <w:color w:val="auto"/>
          <w:sz w:val="21"/>
          <w:szCs w:val="21"/>
          <w:highlight w:val="none"/>
          <w:lang w:val="en-US" w:eastAsia="zh-CN"/>
        </w:rPr>
        <w:t>无计日工</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工程量清单及其计价中所有要求署名、盖章处，必须由规定的单位和人员署名、盖章。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3.3</w:t>
      </w:r>
      <w:r>
        <w:rPr>
          <w:rFonts w:hint="eastAsia" w:ascii="Arial" w:hAnsi="Arial" w:eastAsia="宋体" w:cs="Arial"/>
          <w:color w:val="auto"/>
          <w:sz w:val="21"/>
          <w:szCs w:val="21"/>
          <w:highlight w:val="none"/>
          <w:lang w:val="en-US" w:eastAsia="zh-CN"/>
        </w:rPr>
        <w:t>本工程计价规范：通用部分采用浙江省地方标准DB33/T751-2009《交通养护工程工程量清单计价规范-第2部分：公路大中修》。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val="en-US" w:eastAsia="zh-CN" w:bidi="ar"/>
        </w:rPr>
        <w:t>工程一切险按工程量第100章(不含工程一切险和安全生产责任险的保险费)至600章合计金额为计算基数乘以费率0.3%计算；安全责任险的最低投保金额：50万元/人。安全责任险需涵盖第三者责任险，且第三者责任险不低于200万元，事故次数不限（不计免赔额），金额按工程一切险按工程量第100章(不含工程一切险和安全生产责任险的保险费)至600章合计金额为计算基数乘以费率0.3%计算。</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3.5承包人在施工过程中采取安全保护措施的安全生产费按合计工程造价的2.0%计入，承包人计量按浙交〔2021〕12号《浙江省交通建设工程安全生产费用管理办法》的相关要求。</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3.6本工程混凝土按自拌考虑，沥青混凝土按商品考虑。</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3.7本工程土方外运、消纳等费用已含在各子目单价内，不另行计量。</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3.8本工程路基碾压夯实已含在各子目单价内，不另行计量。</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3.9沥青铣刨料由施工单位自行回收处置，但不得随意堆放，避免环境污染，沥青铣刨料按50元/m³的价值扣回费用。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3.10</w:t>
      </w:r>
      <w:r>
        <w:rPr>
          <w:rFonts w:hint="eastAsia" w:ascii="宋体" w:hAnsi="宋体" w:eastAsia="宋体" w:cs="宋体"/>
          <w:color w:val="auto"/>
          <w:sz w:val="21"/>
          <w:szCs w:val="21"/>
          <w:highlight w:val="none"/>
        </w:rPr>
        <w:t>投标人须按照‘营改增’之后的相关规定进行报价。本项目的结算、审计等均按照‘营改增’的相关规定执行，投标人应充分考虑‘营改增’之后的相关风险，并综合报价。中标后，在此方面不作调整。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3.11</w:t>
      </w:r>
      <w:r>
        <w:rPr>
          <w:rFonts w:hint="eastAsia" w:ascii="宋体" w:hAnsi="宋体" w:eastAsia="宋体" w:cs="宋体"/>
          <w:color w:val="auto"/>
          <w:sz w:val="21"/>
          <w:szCs w:val="21"/>
          <w:highlight w:val="none"/>
        </w:rPr>
        <w:t>在发中标通知书之前，招标人有权对中标人投标文件中的明显不平衡报价的子目单价，在投标总报价不变的前提下，协商调整至双方认可的合理范围。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3.12</w:t>
      </w:r>
      <w:r>
        <w:rPr>
          <w:rFonts w:hint="eastAsia" w:ascii="宋体" w:hAnsi="宋体" w:eastAsia="宋体" w:cs="宋体"/>
          <w:color w:val="auto"/>
          <w:sz w:val="21"/>
          <w:szCs w:val="21"/>
          <w:highlight w:val="none"/>
        </w:rPr>
        <w:t>其余未尽事宜按施工图及施工规范相应要求。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4.工程量清单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4.1工程量清单</w:t>
      </w: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7"/>
        <w:gridCol w:w="1065"/>
        <w:gridCol w:w="1305"/>
        <w:gridCol w:w="1467"/>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第100章 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按合同条款规定，提供建筑工程一切险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按合同条款规定，提供安全生产责任险（含第三方责任险）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竣工文件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施工环保费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交通安全管理费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102-4</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临时工程用地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临时供电设施架设、拆除、维修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承包人驻地建设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7"/>
        <w:gridCol w:w="1065"/>
        <w:gridCol w:w="1305"/>
        <w:gridCol w:w="1467"/>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第200章 路基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挖土方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1120.814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借方填筑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宕渣（利用）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边沟</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边沟清理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8"/>
        <w:gridCol w:w="1063"/>
        <w:gridCol w:w="1305"/>
        <w:gridCol w:w="1467"/>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第300章 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-d</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挖除</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3155.792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沥青混凝土路面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铣刨</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不规则裂缝处治</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抗裂贴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4941.100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粘层</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10310.200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细粒式沥青混凝土</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厚50mm</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厚35mm</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9897.700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水泥混凝土路面破板修复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180mm厚混凝土路面（4.5MPa）</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7269.900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200mm厚混凝土路面（4.5MPa）</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12453.800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315-4</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裂缝维修（热沥青灌缝）</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5842.100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8"/>
        <w:gridCol w:w="1063"/>
        <w:gridCol w:w="1305"/>
        <w:gridCol w:w="1467"/>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第600章 交通安全设施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波形梁护栏维修</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602-4</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重建或新增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波形护栏（Gr-c-4E）</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波形梁钢护栏端头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-c</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立柱钻孔，灌浆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道路交通标线局部维修</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616-1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热熔型涂料路面标线修复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热熔标线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616-7</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轮廓标修复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附着式轮廓标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wordWrap w:val="0"/>
        <w:snapToGrid w:val="0"/>
        <w:spacing w:line="360" w:lineRule="auto"/>
        <w:ind w:firstLine="420" w:firstLineChars="200"/>
        <w:outlineLvl w:val="2"/>
        <w:rPr>
          <w:rFonts w:ascii="宋体" w:hAnsi="宋体" w:cs="宋体"/>
          <w:sz w:val="21"/>
          <w:szCs w:val="21"/>
        </w:rPr>
      </w:pPr>
      <w:r>
        <w:rPr>
          <w:rFonts w:hint="eastAsia" w:ascii="宋体" w:hAnsi="宋体" w:eastAsia="宋体" w:cs="宋体"/>
          <w:sz w:val="21"/>
          <w:szCs w:val="21"/>
          <w:lang w:val="en-US" w:eastAsia="zh-CN"/>
        </w:rPr>
        <w:t>4</w:t>
      </w:r>
      <w:r>
        <w:rPr>
          <w:rFonts w:hint="eastAsia" w:ascii="宋体" w:hAnsi="宋体" w:cs="宋体"/>
          <w:sz w:val="21"/>
          <w:szCs w:val="21"/>
        </w:rPr>
        <w:t>.2计日工表（本项目不适用）</w:t>
      </w:r>
    </w:p>
    <w:p>
      <w:pPr>
        <w:wordWrap w:val="0"/>
        <w:snapToGrid w:val="0"/>
        <w:spacing w:line="360" w:lineRule="auto"/>
        <w:ind w:firstLine="420" w:firstLineChars="200"/>
        <w:outlineLvl w:val="2"/>
        <w:rPr>
          <w:rFonts w:ascii="宋体" w:hAnsi="宋体" w:cs="宋体"/>
          <w:sz w:val="21"/>
          <w:szCs w:val="21"/>
        </w:rPr>
      </w:pPr>
      <w:bookmarkStart w:id="39" w:name="_Toc17382429"/>
      <w:bookmarkStart w:id="40" w:name="_Toc505864447"/>
      <w:bookmarkStart w:id="41" w:name="_Toc514687624"/>
      <w:r>
        <w:rPr>
          <w:rFonts w:hint="eastAsia" w:ascii="宋体" w:hAnsi="宋体" w:eastAsia="宋体" w:cs="宋体"/>
          <w:sz w:val="21"/>
          <w:szCs w:val="21"/>
          <w:lang w:val="en-US" w:eastAsia="zh-CN"/>
        </w:rPr>
        <w:t>4</w:t>
      </w:r>
      <w:r>
        <w:rPr>
          <w:rFonts w:hint="eastAsia" w:ascii="宋体" w:hAnsi="宋体" w:cs="宋体"/>
          <w:sz w:val="21"/>
          <w:szCs w:val="21"/>
        </w:rPr>
        <w:t>.3暂估价表（本项目不适用）</w:t>
      </w:r>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s="宋体"/>
          <w:sz w:val="21"/>
          <w:szCs w:val="21"/>
        </w:rPr>
      </w:pPr>
      <w:bookmarkStart w:id="42" w:name="_Toc505864448"/>
      <w:bookmarkStart w:id="43" w:name="_Toc514687625"/>
      <w:bookmarkStart w:id="44" w:name="_Toc17382430"/>
      <w:r>
        <w:rPr>
          <w:rFonts w:hint="eastAsia" w:ascii="宋体" w:hAnsi="宋体" w:eastAsia="宋体" w:cs="宋体"/>
          <w:sz w:val="21"/>
          <w:szCs w:val="21"/>
          <w:lang w:val="en-US" w:eastAsia="zh-CN"/>
        </w:rPr>
        <w:t>4</w:t>
      </w:r>
      <w:r>
        <w:rPr>
          <w:rFonts w:hint="eastAsia" w:ascii="宋体" w:hAnsi="宋体" w:cs="宋体"/>
          <w:sz w:val="21"/>
          <w:szCs w:val="21"/>
        </w:rPr>
        <w:t>.4</w:t>
      </w:r>
      <w:bookmarkEnd w:id="42"/>
      <w:bookmarkEnd w:id="43"/>
      <w:bookmarkEnd w:id="44"/>
      <w:r>
        <w:rPr>
          <w:rFonts w:hint="eastAsia" w:ascii="宋体" w:hAnsi="宋体" w:cs="宋体"/>
          <w:sz w:val="21"/>
          <w:szCs w:val="21"/>
        </w:rPr>
        <w:t>磋商报价明细表</w:t>
      </w: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3"/>
        <w:gridCol w:w="1708"/>
        <w:gridCol w:w="4281"/>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629"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标段：仙居县城乡冷链物流设施项目-物流网点连接线工程（下各镇）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7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章次</w:t>
            </w:r>
          </w:p>
        </w:tc>
        <w:tc>
          <w:tcPr>
            <w:tcW w:w="428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 目 名 称</w:t>
            </w:r>
          </w:p>
        </w:tc>
        <w:tc>
          <w:tcPr>
            <w:tcW w:w="205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总则</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路基</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路面</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交通安全设施</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第100章至700章清单合计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已包含在清单合计中的材料、工程设备、专业工程暂估价合计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清单合计减去材料、工程设备、专业工程暂估价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合计(即5-6)=7</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暂列金额(不含计日工总额)</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投标报价(5+8+9)=10</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cs="宋体"/>
          <w:sz w:val="21"/>
          <w:szCs w:val="21"/>
        </w:rPr>
      </w:pPr>
    </w:p>
    <w:p>
      <w:pPr>
        <w:numPr>
          <w:ilvl w:val="0"/>
          <w:numId w:val="5"/>
        </w:numPr>
        <w:spacing w:line="400" w:lineRule="exac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技术规范</w:t>
      </w:r>
    </w:p>
    <w:p>
      <w:pPr>
        <w:spacing w:line="360" w:lineRule="auto"/>
        <w:ind w:firstLine="435"/>
        <w:rPr>
          <w:rFonts w:hint="eastAsia"/>
          <w:sz w:val="21"/>
          <w:szCs w:val="21"/>
        </w:rPr>
      </w:pPr>
      <w:r>
        <w:rPr>
          <w:rFonts w:hint="eastAsia" w:eastAsia="宋体"/>
          <w:sz w:val="21"/>
          <w:szCs w:val="21"/>
          <w:lang w:val="en-US" w:eastAsia="zh-CN"/>
        </w:rPr>
        <w:t xml:space="preserve"> </w:t>
      </w:r>
      <w:r>
        <w:rPr>
          <w:rFonts w:hint="eastAsia"/>
          <w:sz w:val="21"/>
          <w:szCs w:val="21"/>
        </w:rPr>
        <w:t xml:space="preserve"> 1、本专用条款是浙江省《交通养护工程工程量清单计价规范》</w:t>
      </w:r>
      <w:r>
        <w:rPr>
          <w:rFonts w:hint="eastAsia"/>
          <w:sz w:val="21"/>
          <w:szCs w:val="21"/>
          <w:lang w:val="en-US" w:eastAsia="zh-CN"/>
        </w:rPr>
        <w:t>2011</w:t>
      </w:r>
      <w:r>
        <w:rPr>
          <w:rFonts w:hint="eastAsia"/>
          <w:sz w:val="21"/>
          <w:szCs w:val="21"/>
        </w:rPr>
        <w:t>的补充和修改，应对照技术规范同一编号的章、节、小节、条、款、目一起阅读和理解，如有矛盾的，应以本专用条款规定优先。本专用条款适用于仙居县城乡冷链物流设施项目-物流网点连接线工程(</w:t>
      </w:r>
      <w:r>
        <w:rPr>
          <w:rFonts w:hint="eastAsia"/>
          <w:sz w:val="21"/>
          <w:szCs w:val="21"/>
          <w:lang w:eastAsia="zh-CN"/>
        </w:rPr>
        <w:t>下各镇</w:t>
      </w:r>
      <w:r>
        <w:rPr>
          <w:rFonts w:hint="eastAsia"/>
          <w:sz w:val="21"/>
          <w:szCs w:val="21"/>
        </w:rPr>
        <w:t>)。</w:t>
      </w:r>
    </w:p>
    <w:p>
      <w:pPr>
        <w:pStyle w:val="61"/>
        <w:ind w:firstLine="0" w:firstLineChars="0"/>
        <w:rPr>
          <w:rFonts w:hint="eastAsia" w:ascii="黑体" w:eastAsia="黑体"/>
          <w:color w:val="000000"/>
          <w:sz w:val="24"/>
          <w:szCs w:val="24"/>
        </w:rPr>
      </w:pPr>
      <w:r>
        <w:rPr>
          <w:rFonts w:hint="eastAsia"/>
          <w:sz w:val="24"/>
          <w:szCs w:val="24"/>
        </w:rPr>
        <w:t>100章 总则</w:t>
      </w:r>
    </w:p>
    <w:tbl>
      <w:tblPr>
        <w:tblStyle w:val="24"/>
        <w:tblW w:w="9345" w:type="dxa"/>
        <w:tblInd w:w="108" w:type="dxa"/>
        <w:tblLayout w:type="fixed"/>
        <w:tblCellMar>
          <w:top w:w="0" w:type="dxa"/>
          <w:left w:w="108" w:type="dxa"/>
          <w:bottom w:w="0" w:type="dxa"/>
          <w:right w:w="108" w:type="dxa"/>
        </w:tblCellMar>
      </w:tblPr>
      <w:tblGrid>
        <w:gridCol w:w="525"/>
        <w:gridCol w:w="420"/>
        <w:gridCol w:w="420"/>
        <w:gridCol w:w="1329"/>
        <w:gridCol w:w="1086"/>
        <w:gridCol w:w="630"/>
        <w:gridCol w:w="1155"/>
        <w:gridCol w:w="1995"/>
        <w:gridCol w:w="1785"/>
      </w:tblGrid>
      <w:tr>
        <w:tblPrEx>
          <w:tblCellMar>
            <w:top w:w="0" w:type="dxa"/>
            <w:left w:w="108" w:type="dxa"/>
            <w:bottom w:w="0" w:type="dxa"/>
            <w:right w:w="108" w:type="dxa"/>
          </w:tblCellMar>
        </w:tblPrEx>
        <w:trPr>
          <w:cantSplit/>
          <w:trHeight w:val="460" w:hRule="atLeast"/>
        </w:trPr>
        <w:tc>
          <w:tcPr>
            <w:tcW w:w="136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spacing w:val="-16"/>
                <w:kern w:val="0"/>
                <w:sz w:val="18"/>
                <w:szCs w:val="18"/>
              </w:rPr>
            </w:pPr>
            <w:r>
              <w:rPr>
                <w:rFonts w:hint="eastAsia" w:ascii="宋体" w:hAnsi="宋体" w:cs="宋体"/>
                <w:color w:val="000000"/>
                <w:spacing w:val="-16"/>
                <w:kern w:val="0"/>
                <w:sz w:val="18"/>
                <w:szCs w:val="18"/>
              </w:rPr>
              <w:t>项(细)目编号</w:t>
            </w:r>
          </w:p>
        </w:tc>
        <w:tc>
          <w:tcPr>
            <w:tcW w:w="1329"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项(细)目</w:t>
            </w:r>
          </w:p>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名称</w:t>
            </w:r>
          </w:p>
        </w:tc>
        <w:tc>
          <w:tcPr>
            <w:tcW w:w="1086"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center"/>
              <w:rPr>
                <w:rFonts w:hint="eastAsia" w:ascii="宋体" w:hAnsi="宋体" w:cs="宋体"/>
                <w:color w:val="000000"/>
                <w:kern w:val="0"/>
                <w:sz w:val="18"/>
                <w:szCs w:val="18"/>
              </w:rPr>
            </w:pPr>
            <w:r>
              <w:rPr>
                <w:rFonts w:hint="eastAsia" w:ascii="宋体" w:hAnsi="宋体" w:cs="宋体"/>
                <w:color w:val="000000"/>
                <w:kern w:val="0"/>
                <w:sz w:val="18"/>
                <w:szCs w:val="18"/>
              </w:rPr>
              <w:t>项目特征</w:t>
            </w:r>
          </w:p>
        </w:tc>
        <w:tc>
          <w:tcPr>
            <w:tcW w:w="630" w:type="dxa"/>
            <w:vMerge w:val="restart"/>
            <w:tcBorders>
              <w:top w:val="single" w:color="auto" w:sz="4" w:space="0"/>
              <w:left w:val="nil"/>
              <w:right w:val="single" w:color="auto" w:sz="4" w:space="0"/>
            </w:tcBorders>
            <w:noWrap/>
            <w:vAlign w:val="center"/>
          </w:tcPr>
          <w:p>
            <w:pPr>
              <w:pStyle w:val="62"/>
              <w:keepNext w:val="0"/>
              <w:keepLines w:val="0"/>
              <w:widowControl/>
              <w:suppressLineNumbers w:val="0"/>
              <w:spacing w:before="0" w:beforeAutospacing="0" w:after="0" w:afterAutospacing="0" w:line="240" w:lineRule="exact"/>
              <w:ind w:left="0" w:right="0"/>
              <w:rPr>
                <w:rFonts w:hint="eastAsia" w:hAnsi="宋体" w:cs="宋体"/>
                <w:color w:val="000000"/>
                <w:spacing w:val="-20"/>
                <w:sz w:val="18"/>
                <w:szCs w:val="18"/>
              </w:rPr>
            </w:pPr>
            <w:r>
              <w:rPr>
                <w:rFonts w:hint="eastAsia" w:hAnsi="宋体" w:cs="宋体"/>
                <w:color w:val="000000"/>
                <w:spacing w:val="-20"/>
                <w:sz w:val="18"/>
                <w:szCs w:val="18"/>
              </w:rPr>
              <w:t>计量单位</w:t>
            </w:r>
          </w:p>
        </w:tc>
        <w:tc>
          <w:tcPr>
            <w:tcW w:w="1155" w:type="dxa"/>
            <w:vMerge w:val="restart"/>
            <w:tcBorders>
              <w:top w:val="single" w:color="auto" w:sz="4" w:space="0"/>
              <w:left w:val="nil"/>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工程量</w:t>
            </w:r>
          </w:p>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计算规则</w:t>
            </w:r>
          </w:p>
        </w:tc>
        <w:tc>
          <w:tcPr>
            <w:tcW w:w="1995"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计价工程内容</w:t>
            </w:r>
          </w:p>
        </w:tc>
        <w:tc>
          <w:tcPr>
            <w:tcW w:w="1785"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计量规则</w:t>
            </w:r>
          </w:p>
        </w:tc>
      </w:tr>
      <w:tr>
        <w:tblPrEx>
          <w:tblCellMar>
            <w:top w:w="0" w:type="dxa"/>
            <w:left w:w="108" w:type="dxa"/>
            <w:bottom w:w="0" w:type="dxa"/>
            <w:right w:w="108" w:type="dxa"/>
          </w:tblCellMar>
        </w:tblPrEx>
        <w:trPr>
          <w:cantSplit/>
          <w:trHeight w:val="466"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章节</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子目</w:t>
            </w: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细目</w:t>
            </w:r>
          </w:p>
        </w:tc>
        <w:tc>
          <w:tcPr>
            <w:tcW w:w="1329"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086"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color w:val="000000"/>
                <w:kern w:val="0"/>
                <w:sz w:val="18"/>
                <w:szCs w:val="18"/>
              </w:rPr>
            </w:pPr>
          </w:p>
        </w:tc>
        <w:tc>
          <w:tcPr>
            <w:tcW w:w="630"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vMerge w:val="continue"/>
            <w:tcBorders>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99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nil"/>
              <w:left w:val="single" w:color="auto" w:sz="4" w:space="0"/>
              <w:bottom w:val="single" w:color="auto" w:sz="4" w:space="0"/>
              <w:right w:val="single" w:color="auto" w:sz="4" w:space="0"/>
            </w:tcBorders>
            <w:noWrap/>
            <w:vAlign w:val="center"/>
          </w:tcPr>
          <w:p>
            <w:pPr>
              <w:pStyle w:val="63"/>
              <w:keepNext w:val="0"/>
              <w:keepLines w:val="0"/>
              <w:widowControl/>
              <w:suppressLineNumbers w:val="0"/>
              <w:tabs>
                <w:tab w:val="clear" w:pos="4154"/>
                <w:tab w:val="clear" w:pos="8306"/>
              </w:tabs>
              <w:spacing w:before="0" w:beforeAutospacing="0" w:after="0" w:afterAutospacing="0" w:line="240" w:lineRule="exact"/>
              <w:ind w:left="0" w:right="0"/>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101</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13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通则</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color w:val="000000"/>
                <w:kern w:val="0"/>
                <w:sz w:val="18"/>
                <w:szCs w:val="18"/>
              </w:rPr>
            </w:pPr>
          </w:p>
        </w:tc>
        <w:tc>
          <w:tcPr>
            <w:tcW w:w="63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99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7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nil"/>
              <w:left w:val="single" w:color="auto" w:sz="4" w:space="0"/>
              <w:bottom w:val="single" w:color="auto" w:sz="4" w:space="0"/>
              <w:right w:val="single" w:color="auto" w:sz="4" w:space="0"/>
            </w:tcBorders>
            <w:noWrap/>
            <w:vAlign w:val="center"/>
          </w:tcPr>
          <w:p>
            <w:pPr>
              <w:pStyle w:val="63"/>
              <w:keepNext w:val="0"/>
              <w:keepLines w:val="0"/>
              <w:widowControl/>
              <w:suppressLineNumbers w:val="0"/>
              <w:tabs>
                <w:tab w:val="clear" w:pos="4154"/>
                <w:tab w:val="clear" w:pos="8306"/>
              </w:tabs>
              <w:spacing w:before="0" w:beforeAutospacing="0" w:after="0" w:afterAutospacing="0" w:line="240" w:lineRule="exact"/>
              <w:ind w:left="0" w:right="0"/>
              <w:rPr>
                <w:rFonts w:hint="eastAsia" w:ascii="宋体" w:hAnsi="宋体" w:cs="宋体"/>
                <w:color w:val="000000"/>
                <w:sz w:val="18"/>
                <w:szCs w:val="18"/>
                <w:lang w:val="en-US" w:eastAsia="zh-CN"/>
              </w:rPr>
            </w:pP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13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保险费</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color w:val="000000"/>
                <w:kern w:val="0"/>
                <w:sz w:val="18"/>
                <w:szCs w:val="18"/>
              </w:rPr>
            </w:pPr>
          </w:p>
        </w:tc>
        <w:tc>
          <w:tcPr>
            <w:tcW w:w="63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18"/>
                <w:szCs w:val="18"/>
              </w:rPr>
            </w:pPr>
          </w:p>
        </w:tc>
        <w:tc>
          <w:tcPr>
            <w:tcW w:w="199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7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nil"/>
              <w:left w:val="single" w:color="auto" w:sz="4" w:space="0"/>
              <w:bottom w:val="single" w:color="auto" w:sz="4" w:space="0"/>
              <w:right w:val="single" w:color="auto" w:sz="4" w:space="0"/>
            </w:tcBorders>
            <w:noWrap/>
            <w:vAlign w:val="center"/>
          </w:tcPr>
          <w:p>
            <w:pPr>
              <w:pStyle w:val="63"/>
              <w:keepNext w:val="0"/>
              <w:keepLines w:val="0"/>
              <w:widowControl/>
              <w:suppressLineNumbers w:val="0"/>
              <w:tabs>
                <w:tab w:val="clear" w:pos="4154"/>
                <w:tab w:val="clear" w:pos="8306"/>
              </w:tabs>
              <w:spacing w:before="0" w:beforeAutospacing="0" w:after="0" w:afterAutospacing="0" w:line="240" w:lineRule="exact"/>
              <w:ind w:left="0" w:right="0"/>
              <w:rPr>
                <w:rFonts w:hint="eastAsia" w:ascii="宋体" w:hAnsi="宋体" w:cs="宋体"/>
                <w:color w:val="000000"/>
                <w:sz w:val="18"/>
                <w:szCs w:val="18"/>
                <w:lang w:val="en-US" w:eastAsia="zh-CN"/>
              </w:rPr>
            </w:pP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b</w:t>
            </w:r>
          </w:p>
        </w:tc>
        <w:tc>
          <w:tcPr>
            <w:tcW w:w="13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安全生产责任险（含第三方责任险）</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color w:val="000000"/>
                <w:kern w:val="0"/>
                <w:sz w:val="18"/>
                <w:szCs w:val="18"/>
              </w:rPr>
            </w:pPr>
          </w:p>
        </w:tc>
        <w:tc>
          <w:tcPr>
            <w:tcW w:w="63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5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18"/>
                <w:szCs w:val="18"/>
              </w:rPr>
            </w:pPr>
            <w:r>
              <w:rPr>
                <w:rFonts w:hint="eastAsia" w:ascii="宋体" w:hAnsi="宋体" w:cs="宋体"/>
                <w:kern w:val="0"/>
                <w:sz w:val="18"/>
                <w:szCs w:val="18"/>
              </w:rPr>
              <w:t>根据合同条款办理安全生产责任险</w:t>
            </w:r>
          </w:p>
        </w:tc>
        <w:tc>
          <w:tcPr>
            <w:tcW w:w="199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承包人按照合同条款约定的保险费率及保费计算方法办理安全生产责任险，根据保险公司的保单金额以总额为单位计量。其中第三责责任险保额不低于2</w:t>
            </w:r>
            <w:r>
              <w:rPr>
                <w:rFonts w:hint="default" w:ascii="宋体" w:hAnsi="宋体" w:cs="宋体"/>
                <w:kern w:val="0"/>
                <w:sz w:val="18"/>
                <w:szCs w:val="18"/>
              </w:rPr>
              <w:t>00</w:t>
            </w:r>
            <w:r>
              <w:rPr>
                <w:rFonts w:hint="eastAsia" w:ascii="宋体" w:hAnsi="宋体" w:cs="宋体"/>
                <w:kern w:val="0"/>
                <w:sz w:val="18"/>
                <w:szCs w:val="18"/>
              </w:rPr>
              <w:t>万。</w:t>
            </w:r>
          </w:p>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r>
              <w:rPr>
                <w:rFonts w:hint="default" w:ascii="宋体" w:hAnsi="宋体" w:cs="宋体"/>
                <w:kern w:val="0"/>
                <w:sz w:val="18"/>
                <w:szCs w:val="18"/>
              </w:rPr>
              <w:t>2.</w:t>
            </w:r>
            <w:r>
              <w:rPr>
                <w:rFonts w:hint="eastAsia" w:ascii="宋体" w:hAnsi="宋体" w:cs="宋体"/>
                <w:kern w:val="0"/>
                <w:sz w:val="18"/>
                <w:szCs w:val="18"/>
              </w:rPr>
              <w:t>保险期为合同约定的施工期及缺陷责任期</w:t>
            </w:r>
          </w:p>
        </w:tc>
        <w:tc>
          <w:tcPr>
            <w:tcW w:w="1785" w:type="dxa"/>
            <w:tcBorders>
              <w:top w:val="nil"/>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根据保险公司的保单实际额度，经监理工程师签证后计量</w:t>
            </w:r>
          </w:p>
        </w:tc>
      </w:tr>
      <w:tr>
        <w:tblPrEx>
          <w:tblCellMar>
            <w:top w:w="0" w:type="dxa"/>
            <w:left w:w="108" w:type="dxa"/>
            <w:bottom w:w="0" w:type="dxa"/>
            <w:right w:w="108" w:type="dxa"/>
          </w:tblCellMar>
        </w:tblPrEx>
        <w:trPr>
          <w:trHeight w:val="543"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102</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42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3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工程管理</w:t>
            </w:r>
          </w:p>
        </w:tc>
        <w:tc>
          <w:tcPr>
            <w:tcW w:w="108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63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15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99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78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3</w:t>
            </w:r>
          </w:p>
        </w:tc>
        <w:tc>
          <w:tcPr>
            <w:tcW w:w="42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32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交通安全管理费</w:t>
            </w:r>
          </w:p>
        </w:tc>
        <w:tc>
          <w:tcPr>
            <w:tcW w:w="108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、施工期</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default" w:ascii="宋体" w:hAnsi="宋体" w:cs="宋体"/>
                <w:kern w:val="0"/>
                <w:sz w:val="18"/>
                <w:szCs w:val="18"/>
              </w:rPr>
              <w:t>2</w:t>
            </w:r>
            <w:r>
              <w:rPr>
                <w:rFonts w:hint="eastAsia" w:ascii="宋体" w:hAnsi="宋体" w:cs="宋体"/>
                <w:kern w:val="0"/>
                <w:sz w:val="18"/>
                <w:szCs w:val="18"/>
              </w:rPr>
              <w:t>、交通安全措施</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default" w:ascii="宋体" w:hAnsi="宋体" w:cs="宋体"/>
                <w:kern w:val="0"/>
                <w:sz w:val="18"/>
                <w:szCs w:val="18"/>
              </w:rPr>
              <w:t xml:space="preserve">3. </w:t>
            </w:r>
            <w:r>
              <w:rPr>
                <w:rFonts w:hint="eastAsia" w:ascii="宋体" w:hAnsi="宋体" w:cs="宋体"/>
                <w:kern w:val="0"/>
                <w:sz w:val="18"/>
                <w:szCs w:val="18"/>
              </w:rPr>
              <w:t>交通管制措施</w:t>
            </w:r>
          </w:p>
        </w:tc>
        <w:tc>
          <w:tcPr>
            <w:tcW w:w="63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总额</w:t>
            </w:r>
          </w:p>
        </w:tc>
        <w:tc>
          <w:tcPr>
            <w:tcW w:w="115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按规定和要</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求计算总额</w:t>
            </w:r>
          </w:p>
        </w:tc>
        <w:tc>
          <w:tcPr>
            <w:tcW w:w="199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、交通安全管制</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2</w:t>
            </w:r>
            <w:r>
              <w:rPr>
                <w:rFonts w:hint="eastAsia" w:ascii="宋体" w:hAnsi="宋体" w:cs="宋体"/>
                <w:kern w:val="0"/>
                <w:sz w:val="18"/>
                <w:szCs w:val="18"/>
              </w:rPr>
              <w:t>、临时安全设施的安装、拆除、移动、养护</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default" w:ascii="宋体" w:hAnsi="宋体" w:cs="宋体"/>
                <w:kern w:val="0"/>
                <w:sz w:val="18"/>
                <w:szCs w:val="18"/>
              </w:rPr>
              <w:t>3</w:t>
            </w:r>
            <w:r>
              <w:rPr>
                <w:rFonts w:hint="eastAsia" w:ascii="宋体" w:hAnsi="宋体" w:cs="宋体"/>
                <w:kern w:val="0"/>
                <w:sz w:val="18"/>
                <w:szCs w:val="18"/>
              </w:rPr>
              <w:t>、专职安全人员配备</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4、边通车边施工的安全维护经费</w:t>
            </w:r>
          </w:p>
        </w:tc>
        <w:tc>
          <w:tcPr>
            <w:tcW w:w="1785"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按相关规范要求设置临时交通安全设施，并经监理工程师确认后，按实际发生额度进行计量。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4</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安全生产费</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w:t>
            </w:r>
            <w:r>
              <w:rPr>
                <w:rFonts w:hint="default" w:ascii="宋体" w:hAnsi="宋体" w:cs="宋体"/>
                <w:kern w:val="0"/>
                <w:sz w:val="18"/>
                <w:szCs w:val="18"/>
              </w:rPr>
              <w:t xml:space="preserve"> </w:t>
            </w:r>
            <w:r>
              <w:rPr>
                <w:rFonts w:hint="eastAsia" w:ascii="宋体" w:hAnsi="宋体" w:cs="宋体"/>
                <w:kern w:val="0"/>
                <w:sz w:val="18"/>
                <w:szCs w:val="18"/>
              </w:rPr>
              <w:t>施工期</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2</w:t>
            </w:r>
            <w:r>
              <w:rPr>
                <w:rFonts w:hint="eastAsia" w:ascii="宋体" w:hAnsi="宋体" w:cs="宋体"/>
                <w:kern w:val="0"/>
                <w:sz w:val="18"/>
                <w:szCs w:val="18"/>
              </w:rPr>
              <w:t>、</w:t>
            </w:r>
            <w:r>
              <w:rPr>
                <w:rFonts w:hint="default" w:ascii="宋体" w:hAnsi="宋体" w:cs="宋体"/>
                <w:kern w:val="0"/>
                <w:sz w:val="18"/>
                <w:szCs w:val="18"/>
              </w:rPr>
              <w:t xml:space="preserve"> </w:t>
            </w:r>
            <w:r>
              <w:rPr>
                <w:rFonts w:hint="eastAsia" w:ascii="宋体" w:hAnsi="宋体" w:cs="宋体"/>
                <w:kern w:val="0"/>
                <w:sz w:val="18"/>
                <w:szCs w:val="18"/>
              </w:rPr>
              <w:t>安全生</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产措施</w:t>
            </w:r>
          </w:p>
        </w:tc>
        <w:tc>
          <w:tcPr>
            <w:tcW w:w="63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总额</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按规定和要</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求计算总额</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、一般的安全防护措施</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2、灭火器具配置</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3、危险与放射物品保护</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4、有关设备的维护、安全标志设置等</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根据浙交〔2021〕12号文件相关规定，按实际发生额度进行计量。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104</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承包人驻地建设</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1</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承包人驻地建设</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总额</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按规定要</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求、施工和</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生活需要、</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施工组织等</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SimSun-Identity-H" w:eastAsia="SimSun-Identity-H" w:cs="SimSun-Identity-H"/>
                <w:kern w:val="0"/>
                <w:sz w:val="18"/>
                <w:szCs w:val="18"/>
              </w:rPr>
              <w:t>计算总额</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承包人驻地建设，包括施工与管理所需的办公室、住房以及配套医疗卫生与消防设施等的建设、管理与维护，要求办公室与住房总面积不少于150平方米</w:t>
            </w:r>
            <w:r>
              <w:rPr>
                <w:rFonts w:hint="eastAsia" w:ascii="宋体" w:hAnsi="宋体" w:cs="宋体"/>
                <w:b/>
                <w:kern w:val="0"/>
                <w:sz w:val="18"/>
                <w:szCs w:val="18"/>
              </w:rPr>
              <w:t>（按租房考虑）</w:t>
            </w:r>
          </w:p>
          <w:p>
            <w:pPr>
              <w:keepNext w:val="0"/>
              <w:keepLines w:val="0"/>
              <w:suppressLineNumbers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2.含办公设备摊销及水电等相关费用</w:t>
            </w:r>
          </w:p>
          <w:p>
            <w:pPr>
              <w:keepNext w:val="0"/>
              <w:keepLines w:val="0"/>
              <w:suppressLineNumbers w:val="0"/>
              <w:spacing w:before="0" w:beforeAutospacing="0" w:after="0" w:afterAutospacing="0"/>
              <w:ind w:left="0" w:right="0"/>
              <w:jc w:val="left"/>
              <w:rPr>
                <w:rFonts w:hint="default" w:ascii="宋体" w:hAnsi="宋体" w:cs="宋体"/>
                <w:kern w:val="0"/>
                <w:sz w:val="18"/>
                <w:szCs w:val="18"/>
              </w:rPr>
            </w:pPr>
            <w:r>
              <w:rPr>
                <w:rFonts w:hint="default" w:ascii="宋体" w:hAnsi="宋体" w:cs="宋体"/>
                <w:kern w:val="0"/>
                <w:sz w:val="18"/>
                <w:szCs w:val="18"/>
              </w:rPr>
              <w:t>3.</w:t>
            </w:r>
            <w:r>
              <w:rPr>
                <w:rFonts w:hint="eastAsia" w:ascii="宋体" w:hAnsi="宋体" w:cs="宋体"/>
                <w:kern w:val="0"/>
                <w:sz w:val="18"/>
                <w:szCs w:val="18"/>
              </w:rPr>
              <w:t>工程交工时，按照合同或协议要求将驻地拆除、清理、恢复原貌</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驻地建设完成，经监理工程师现场核实后分期计量，其中，所报总额的</w:t>
            </w:r>
            <w:r>
              <w:rPr>
                <w:rFonts w:hint="default" w:ascii="SimSun-Identity-H" w:eastAsia="SimSun-Identity-H" w:cs="SimSun-Identity-H"/>
                <w:kern w:val="0"/>
                <w:sz w:val="18"/>
                <w:szCs w:val="18"/>
              </w:rPr>
              <w:t>90</w:t>
            </w:r>
            <w:r>
              <w:rPr>
                <w:rFonts w:hint="eastAsia" w:ascii="SimSun-Identity-H" w:eastAsia="SimSun-Identity-H" w:cs="SimSun-Identity-H"/>
                <w:kern w:val="0"/>
                <w:sz w:val="18"/>
                <w:szCs w:val="18"/>
              </w:rPr>
              <w:t>％在第</w:t>
            </w: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次至第</w:t>
            </w:r>
            <w:r>
              <w:rPr>
                <w:rFonts w:hint="default" w:ascii="SimSun-Identity-H" w:eastAsia="SimSun-Identity-H" w:cs="SimSun-Identity-H"/>
                <w:kern w:val="0"/>
                <w:sz w:val="18"/>
                <w:szCs w:val="18"/>
              </w:rPr>
              <w:t xml:space="preserve">3 </w:t>
            </w:r>
            <w:r>
              <w:rPr>
                <w:rFonts w:hint="eastAsia" w:ascii="SimSun-Identity-H" w:eastAsia="SimSun-Identity-H" w:cs="SimSun-Identity-H"/>
                <w:kern w:val="0"/>
                <w:sz w:val="18"/>
                <w:szCs w:val="18"/>
              </w:rPr>
              <w:t>次计量中，以</w:t>
            </w:r>
            <w:r>
              <w:rPr>
                <w:rFonts w:hint="default" w:ascii="SimSun-Identity-H" w:eastAsia="SimSun-Identity-H" w:cs="SimSun-Identity-H"/>
                <w:kern w:val="0"/>
                <w:sz w:val="18"/>
                <w:szCs w:val="18"/>
              </w:rPr>
              <w:t xml:space="preserve">3 </w:t>
            </w:r>
            <w:r>
              <w:rPr>
                <w:rFonts w:hint="eastAsia" w:ascii="SimSun-Identity-H" w:eastAsia="SimSun-Identity-H" w:cs="SimSun-Identity-H"/>
                <w:kern w:val="0"/>
                <w:sz w:val="18"/>
                <w:szCs w:val="18"/>
              </w:rPr>
              <w:t>次等额计量；所报总额中余下的</w:t>
            </w:r>
            <w:r>
              <w:rPr>
                <w:rFonts w:hint="default" w:ascii="SimSun-Identity-H" w:eastAsia="SimSun-Identity-H" w:cs="SimSun-Identity-H"/>
                <w:kern w:val="0"/>
                <w:sz w:val="18"/>
                <w:szCs w:val="18"/>
              </w:rPr>
              <w:t>10</w:t>
            </w:r>
            <w:r>
              <w:rPr>
                <w:rFonts w:hint="eastAsia" w:ascii="SimSun-Identity-H" w:eastAsia="SimSun-Identity-H" w:cs="SimSun-Identity-H"/>
                <w:kern w:val="0"/>
                <w:sz w:val="18"/>
                <w:szCs w:val="18"/>
              </w:rPr>
              <w:t>％，待驻地建设移走和清除，并经监理工程师验收合格后计量</w:t>
            </w:r>
          </w:p>
        </w:tc>
      </w:tr>
    </w:tbl>
    <w:p>
      <w:pPr>
        <w:rPr>
          <w:rFonts w:hint="eastAsia"/>
          <w:sz w:val="24"/>
        </w:rPr>
      </w:pPr>
    </w:p>
    <w:p>
      <w:pPr>
        <w:rPr>
          <w:rFonts w:hint="eastAsia"/>
          <w:sz w:val="24"/>
        </w:rPr>
      </w:pPr>
      <w:r>
        <w:rPr>
          <w:rFonts w:hint="eastAsia"/>
          <w:sz w:val="24"/>
        </w:rPr>
        <w:t>200章  路基工程</w:t>
      </w:r>
    </w:p>
    <w:tbl>
      <w:tblPr>
        <w:tblStyle w:val="24"/>
        <w:tblW w:w="9345" w:type="dxa"/>
        <w:tblInd w:w="108" w:type="dxa"/>
        <w:tblLayout w:type="fixed"/>
        <w:tblCellMar>
          <w:top w:w="0" w:type="dxa"/>
          <w:left w:w="108" w:type="dxa"/>
          <w:bottom w:w="0" w:type="dxa"/>
          <w:right w:w="108" w:type="dxa"/>
        </w:tblCellMar>
      </w:tblPr>
      <w:tblGrid>
        <w:gridCol w:w="525"/>
        <w:gridCol w:w="420"/>
        <w:gridCol w:w="420"/>
        <w:gridCol w:w="1329"/>
        <w:gridCol w:w="1086"/>
        <w:gridCol w:w="630"/>
        <w:gridCol w:w="1155"/>
        <w:gridCol w:w="1995"/>
        <w:gridCol w:w="1785"/>
      </w:tblGrid>
      <w:tr>
        <w:tblPrEx>
          <w:tblCellMar>
            <w:top w:w="0" w:type="dxa"/>
            <w:left w:w="108" w:type="dxa"/>
            <w:bottom w:w="0" w:type="dxa"/>
            <w:right w:w="108" w:type="dxa"/>
          </w:tblCellMar>
        </w:tblPrEx>
        <w:trPr>
          <w:cantSplit/>
          <w:trHeight w:val="460" w:hRule="atLeast"/>
        </w:trPr>
        <w:tc>
          <w:tcPr>
            <w:tcW w:w="136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spacing w:val="-16"/>
                <w:kern w:val="0"/>
                <w:sz w:val="18"/>
                <w:szCs w:val="18"/>
              </w:rPr>
            </w:pPr>
            <w:r>
              <w:rPr>
                <w:rFonts w:hint="eastAsia" w:ascii="宋体" w:hAnsi="宋体" w:cs="宋体"/>
                <w:color w:val="000000"/>
                <w:spacing w:val="-16"/>
                <w:kern w:val="0"/>
                <w:sz w:val="18"/>
                <w:szCs w:val="18"/>
              </w:rPr>
              <w:t>项(细)目编号</w:t>
            </w:r>
          </w:p>
        </w:tc>
        <w:tc>
          <w:tcPr>
            <w:tcW w:w="1329"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项(细)目</w:t>
            </w:r>
          </w:p>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名称</w:t>
            </w:r>
          </w:p>
        </w:tc>
        <w:tc>
          <w:tcPr>
            <w:tcW w:w="1086"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center"/>
              <w:rPr>
                <w:rFonts w:hint="eastAsia" w:ascii="宋体" w:hAnsi="宋体" w:cs="宋体"/>
                <w:color w:val="000000"/>
                <w:kern w:val="0"/>
                <w:sz w:val="18"/>
                <w:szCs w:val="18"/>
              </w:rPr>
            </w:pPr>
            <w:r>
              <w:rPr>
                <w:rFonts w:hint="eastAsia" w:ascii="宋体" w:hAnsi="宋体" w:cs="宋体"/>
                <w:color w:val="000000"/>
                <w:kern w:val="0"/>
                <w:sz w:val="18"/>
                <w:szCs w:val="18"/>
              </w:rPr>
              <w:t>项目特征</w:t>
            </w:r>
          </w:p>
        </w:tc>
        <w:tc>
          <w:tcPr>
            <w:tcW w:w="630" w:type="dxa"/>
            <w:vMerge w:val="restart"/>
            <w:tcBorders>
              <w:top w:val="single" w:color="auto" w:sz="4" w:space="0"/>
              <w:left w:val="nil"/>
              <w:right w:val="single" w:color="auto" w:sz="4" w:space="0"/>
            </w:tcBorders>
            <w:noWrap/>
            <w:vAlign w:val="center"/>
          </w:tcPr>
          <w:p>
            <w:pPr>
              <w:pStyle w:val="62"/>
              <w:keepNext w:val="0"/>
              <w:keepLines w:val="0"/>
              <w:widowControl/>
              <w:suppressLineNumbers w:val="0"/>
              <w:spacing w:before="0" w:beforeAutospacing="0" w:after="0" w:afterAutospacing="0" w:line="240" w:lineRule="exact"/>
              <w:ind w:left="0" w:right="0"/>
              <w:rPr>
                <w:rFonts w:hint="eastAsia" w:hAnsi="宋体" w:cs="宋体"/>
                <w:color w:val="000000"/>
                <w:spacing w:val="-20"/>
                <w:sz w:val="18"/>
                <w:szCs w:val="18"/>
              </w:rPr>
            </w:pPr>
            <w:r>
              <w:rPr>
                <w:rFonts w:hint="eastAsia" w:hAnsi="宋体" w:cs="宋体"/>
                <w:color w:val="000000"/>
                <w:spacing w:val="-20"/>
                <w:sz w:val="18"/>
                <w:szCs w:val="18"/>
              </w:rPr>
              <w:t>计量单位</w:t>
            </w:r>
          </w:p>
        </w:tc>
        <w:tc>
          <w:tcPr>
            <w:tcW w:w="1155" w:type="dxa"/>
            <w:vMerge w:val="restart"/>
            <w:tcBorders>
              <w:top w:val="single" w:color="auto" w:sz="4" w:space="0"/>
              <w:left w:val="nil"/>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工程量</w:t>
            </w:r>
          </w:p>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计算规则</w:t>
            </w:r>
          </w:p>
        </w:tc>
        <w:tc>
          <w:tcPr>
            <w:tcW w:w="1995"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计价工程内容</w:t>
            </w:r>
          </w:p>
        </w:tc>
        <w:tc>
          <w:tcPr>
            <w:tcW w:w="1785"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计量规则</w:t>
            </w:r>
          </w:p>
        </w:tc>
      </w:tr>
      <w:tr>
        <w:tblPrEx>
          <w:tblCellMar>
            <w:top w:w="0" w:type="dxa"/>
            <w:left w:w="108" w:type="dxa"/>
            <w:bottom w:w="0" w:type="dxa"/>
            <w:right w:w="108" w:type="dxa"/>
          </w:tblCellMar>
        </w:tblPrEx>
        <w:trPr>
          <w:cantSplit/>
          <w:trHeight w:val="466"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章节</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子目</w:t>
            </w: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细目</w:t>
            </w:r>
          </w:p>
        </w:tc>
        <w:tc>
          <w:tcPr>
            <w:tcW w:w="1329"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086"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color w:val="000000"/>
                <w:kern w:val="0"/>
                <w:sz w:val="18"/>
                <w:szCs w:val="18"/>
              </w:rPr>
            </w:pPr>
          </w:p>
        </w:tc>
        <w:tc>
          <w:tcPr>
            <w:tcW w:w="630"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vMerge w:val="continue"/>
            <w:tcBorders>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99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rPr>
              <w:t>20</w:t>
            </w:r>
            <w:r>
              <w:rPr>
                <w:rFonts w:hint="eastAsia" w:ascii="宋体" w:hAnsi="宋体" w:cs="宋体"/>
                <w:color w:val="000000"/>
                <w:spacing w:val="-20"/>
                <w:kern w:val="0"/>
                <w:sz w:val="18"/>
                <w:szCs w:val="18"/>
                <w:lang w:val="en-US" w:eastAsia="zh-CN"/>
              </w:rPr>
              <w:t>2</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挖方路基</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挖土方</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1、土壤类别</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color w:val="000000"/>
                <w:kern w:val="0"/>
                <w:sz w:val="18"/>
                <w:szCs w:val="18"/>
              </w:rPr>
              <w:t>2、运距</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default" w:ascii="宋体" w:hAnsi="宋体" w:cs="宋体"/>
                <w:color w:val="000000"/>
                <w:kern w:val="0"/>
                <w:sz w:val="18"/>
                <w:szCs w:val="18"/>
              </w:rPr>
              <w:t>m</w:t>
            </w:r>
            <w:r>
              <w:rPr>
                <w:rFonts w:hint="eastAsia" w:ascii="宋体" w:hAnsi="宋体" w:cs="宋体"/>
                <w:color w:val="000000"/>
                <w:kern w:val="0"/>
                <w:sz w:val="18"/>
                <w:szCs w:val="18"/>
              </w:rPr>
              <w:t>³</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color w:val="000000"/>
                <w:kern w:val="0"/>
                <w:sz w:val="18"/>
                <w:szCs w:val="18"/>
              </w:rPr>
              <w:t>按路线中线长度乘以设计开挖断面面积的天然密实体积计算（设计图提供的挖土方数量）</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1、土方开挖、装卸、运输、废弃（</w:t>
            </w:r>
            <w:r>
              <w:rPr>
                <w:rStyle w:val="64"/>
                <w:rFonts w:hint="default"/>
              </w:rPr>
              <w:t>施工单位自行考虑堆放位置</w:t>
            </w:r>
            <w:r>
              <w:rPr>
                <w:rFonts w:hint="eastAsia" w:ascii="宋体" w:hAnsi="宋体" w:cs="宋体"/>
                <w:color w:val="000000"/>
                <w:kern w:val="0"/>
                <w:sz w:val="18"/>
                <w:szCs w:val="18"/>
              </w:rPr>
              <w:t>）</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2、路基顶面挖松压实</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3、整修边坡</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4、弃方和剩余材料处理</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bookmarkStart w:id="45" w:name="_Toc156209986"/>
            <w:bookmarkStart w:id="46" w:name="_Toc156209802"/>
            <w:r>
              <w:rPr>
                <w:rFonts w:hint="eastAsia" w:ascii="宋体" w:hAnsi="宋体" w:cs="宋体"/>
                <w:color w:val="000000"/>
                <w:sz w:val="18"/>
                <w:szCs w:val="18"/>
              </w:rPr>
              <w:t>以经校核批准的横断面地面线和土石分界的补充测量为基础，按路线中线长度乘以经核准的横断面面积计算挖方量，作为挖方控制数量；以实际完成并经验收合格的挖方数量，按合同单价计算合价后计量</w:t>
            </w:r>
            <w:bookmarkEnd w:id="45"/>
            <w:bookmarkEnd w:id="46"/>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rPr>
              <w:t>20</w:t>
            </w:r>
            <w:r>
              <w:rPr>
                <w:rFonts w:hint="eastAsia" w:ascii="宋体" w:hAnsi="宋体" w:cs="宋体"/>
                <w:color w:val="000000"/>
                <w:spacing w:val="-20"/>
                <w:kern w:val="0"/>
                <w:sz w:val="18"/>
                <w:szCs w:val="18"/>
                <w:lang w:val="en-US" w:eastAsia="zh-CN"/>
              </w:rPr>
              <w:t>3</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路基</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eastAsia" w:eastAsia="宋体"/>
                <w:lang w:eastAsia="zh-CN"/>
              </w:rPr>
              <w:t>借方填筑</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val="en-US" w:eastAsia="zh-CN"/>
              </w:rPr>
              <w:t>a</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宕渣（利用）</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1、填料要求</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color w:val="000000"/>
                <w:kern w:val="0"/>
                <w:sz w:val="18"/>
                <w:szCs w:val="18"/>
              </w:rPr>
              <w:t>2、压实度</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default" w:ascii="宋体" w:hAnsi="宋体" w:cs="宋体"/>
                <w:color w:val="000000"/>
                <w:kern w:val="0"/>
                <w:sz w:val="18"/>
                <w:szCs w:val="18"/>
              </w:rPr>
              <w:t>m</w:t>
            </w:r>
            <w:r>
              <w:rPr>
                <w:rFonts w:hint="eastAsia" w:ascii="宋体" w:hAnsi="宋体" w:cs="宋体"/>
                <w:color w:val="000000"/>
                <w:kern w:val="0"/>
                <w:sz w:val="18"/>
                <w:szCs w:val="18"/>
              </w:rPr>
              <w:t>³</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color w:val="000000"/>
                <w:kern w:val="0"/>
                <w:sz w:val="18"/>
                <w:szCs w:val="18"/>
              </w:rPr>
              <w:t>按设计图提供或所示，以设计换填体积计算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1、挖除非适用性材料</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2、弃方料装卸、运输、废弃（</w:t>
            </w:r>
            <w:r>
              <w:rPr>
                <w:rStyle w:val="64"/>
                <w:rFonts w:hint="default"/>
              </w:rPr>
              <w:t>施工单位自行考虑堆放位置</w:t>
            </w:r>
            <w:r>
              <w:rPr>
                <w:rFonts w:hint="eastAsia" w:ascii="宋体" w:hAnsi="宋体" w:cs="宋体"/>
                <w:color w:val="000000"/>
                <w:kern w:val="0"/>
                <w:sz w:val="18"/>
                <w:szCs w:val="18"/>
              </w:rPr>
              <w:t>）</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3、宕渣</w:t>
            </w:r>
            <w:r>
              <w:rPr>
                <w:rFonts w:hint="eastAsia" w:ascii="宋体" w:hAnsi="宋体" w:cs="宋体"/>
                <w:color w:val="000000"/>
                <w:kern w:val="0"/>
                <w:sz w:val="18"/>
                <w:szCs w:val="18"/>
                <w:lang w:eastAsia="zh-CN"/>
              </w:rPr>
              <w:t>（利用开挖料）</w:t>
            </w:r>
            <w:r>
              <w:rPr>
                <w:rFonts w:hint="eastAsia" w:ascii="宋体" w:hAnsi="宋体" w:cs="宋体"/>
                <w:color w:val="000000"/>
                <w:kern w:val="0"/>
                <w:sz w:val="18"/>
                <w:szCs w:val="18"/>
              </w:rPr>
              <w:t>、运输</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4、宕渣填筑、碾压</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color w:val="000000"/>
                <w:kern w:val="0"/>
                <w:sz w:val="18"/>
                <w:szCs w:val="18"/>
              </w:rPr>
              <w:t>按图纸所示施工并经验收合格的工程，以承包人测量，并经审核批准的换填厚度及范围或设计图纸为依据计算数量，按合同单价计算合价后计量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default"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lang w:val="en-US" w:eastAsia="zh-CN"/>
              </w:rPr>
              <w:t>205</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修复或完善排水设施</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边沟</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val="en-US" w:eastAsia="zh-CN"/>
              </w:rPr>
              <w:t>b</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边沟清理</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1、断面尺寸</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default" w:ascii="宋体" w:hAnsi="宋体" w:cs="宋体"/>
                <w:color w:val="000000"/>
                <w:kern w:val="0"/>
                <w:sz w:val="18"/>
                <w:szCs w:val="18"/>
              </w:rPr>
              <w:t>m</w:t>
            </w:r>
            <w:r>
              <w:rPr>
                <w:rFonts w:hint="eastAsia" w:ascii="宋体" w:hAnsi="宋体" w:cs="宋体"/>
                <w:color w:val="000000"/>
                <w:kern w:val="0"/>
                <w:sz w:val="18"/>
                <w:szCs w:val="18"/>
              </w:rPr>
              <w:t>³</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cs="宋体"/>
                <w:kern w:val="0"/>
                <w:sz w:val="18"/>
                <w:szCs w:val="18"/>
              </w:rPr>
            </w:pPr>
            <w:r>
              <w:rPr>
                <w:rFonts w:hint="eastAsia" w:ascii="宋体" w:hAnsi="宋体" w:cs="宋体"/>
                <w:kern w:val="0"/>
                <w:sz w:val="18"/>
                <w:szCs w:val="18"/>
              </w:rPr>
              <w:t>按设计图所示，以不同规格边沟清理</w:t>
            </w:r>
            <w:r>
              <w:rPr>
                <w:rFonts w:hint="eastAsia" w:ascii="宋体" w:hAnsi="宋体" w:cs="宋体"/>
                <w:kern w:val="0"/>
                <w:sz w:val="18"/>
                <w:szCs w:val="18"/>
                <w:lang w:eastAsia="zh-CN"/>
              </w:rPr>
              <w:t>体积</w:t>
            </w:r>
            <w:r>
              <w:rPr>
                <w:rFonts w:hint="eastAsia" w:ascii="宋体" w:hAnsi="宋体" w:cs="宋体"/>
                <w:kern w:val="0"/>
                <w:sz w:val="18"/>
                <w:szCs w:val="18"/>
              </w:rPr>
              <w:t>之和计算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1、边沟清理</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2、</w:t>
            </w:r>
            <w:r>
              <w:rPr>
                <w:rStyle w:val="64"/>
                <w:rFonts w:hint="default"/>
              </w:rPr>
              <w:t>装卸、运输、废弃</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 w:val="18"/>
                <w:szCs w:val="18"/>
              </w:rPr>
            </w:pPr>
            <w:r>
              <w:rPr>
                <w:rFonts w:hint="eastAsia" w:ascii="宋体" w:hAnsi="宋体" w:cs="宋体"/>
                <w:color w:val="000000"/>
                <w:kern w:val="0"/>
                <w:sz w:val="18"/>
                <w:szCs w:val="18"/>
              </w:rPr>
              <w:t>以实际清理</w:t>
            </w:r>
            <w:r>
              <w:rPr>
                <w:rFonts w:hint="eastAsia" w:ascii="宋体" w:hAnsi="宋体" w:cs="宋体"/>
                <w:color w:val="000000"/>
                <w:kern w:val="0"/>
                <w:sz w:val="18"/>
                <w:szCs w:val="18"/>
                <w:lang w:eastAsia="zh-CN"/>
              </w:rPr>
              <w:t>方量</w:t>
            </w:r>
            <w:r>
              <w:rPr>
                <w:rFonts w:hint="eastAsia" w:ascii="宋体" w:hAnsi="宋体" w:cs="宋体"/>
                <w:color w:val="000000"/>
                <w:kern w:val="0"/>
                <w:sz w:val="18"/>
                <w:szCs w:val="18"/>
              </w:rPr>
              <w:t>，按合同单价计算合价后计量</w:t>
            </w:r>
          </w:p>
        </w:tc>
      </w:tr>
    </w:tbl>
    <w:p>
      <w:pPr>
        <w:rPr>
          <w:rFonts w:hint="eastAsia"/>
          <w:sz w:val="24"/>
        </w:rPr>
      </w:pPr>
    </w:p>
    <w:p>
      <w:pPr>
        <w:rPr>
          <w:rFonts w:hint="eastAsia"/>
          <w:sz w:val="24"/>
        </w:rPr>
      </w:pPr>
      <w:r>
        <w:rPr>
          <w:rFonts w:hint="eastAsia"/>
          <w:sz w:val="24"/>
        </w:rPr>
        <w:t>300章  路面</w:t>
      </w:r>
    </w:p>
    <w:tbl>
      <w:tblPr>
        <w:tblStyle w:val="24"/>
        <w:tblW w:w="9345" w:type="dxa"/>
        <w:tblInd w:w="108" w:type="dxa"/>
        <w:tblLayout w:type="fixed"/>
        <w:tblCellMar>
          <w:top w:w="0" w:type="dxa"/>
          <w:left w:w="108" w:type="dxa"/>
          <w:bottom w:w="0" w:type="dxa"/>
          <w:right w:w="108" w:type="dxa"/>
        </w:tblCellMar>
      </w:tblPr>
      <w:tblGrid>
        <w:gridCol w:w="525"/>
        <w:gridCol w:w="420"/>
        <w:gridCol w:w="420"/>
        <w:gridCol w:w="1329"/>
        <w:gridCol w:w="1086"/>
        <w:gridCol w:w="630"/>
        <w:gridCol w:w="1155"/>
        <w:gridCol w:w="1995"/>
        <w:gridCol w:w="1785"/>
      </w:tblGrid>
      <w:tr>
        <w:tblPrEx>
          <w:tblCellMar>
            <w:top w:w="0" w:type="dxa"/>
            <w:left w:w="108" w:type="dxa"/>
            <w:bottom w:w="0" w:type="dxa"/>
            <w:right w:w="108" w:type="dxa"/>
          </w:tblCellMar>
        </w:tblPrEx>
        <w:trPr>
          <w:cantSplit/>
          <w:trHeight w:val="460" w:hRule="atLeast"/>
        </w:trPr>
        <w:tc>
          <w:tcPr>
            <w:tcW w:w="136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spacing w:val="-16"/>
                <w:kern w:val="0"/>
                <w:sz w:val="18"/>
                <w:szCs w:val="18"/>
              </w:rPr>
            </w:pPr>
            <w:r>
              <w:rPr>
                <w:rFonts w:hint="eastAsia" w:ascii="宋体" w:hAnsi="宋体" w:cs="宋体"/>
                <w:spacing w:val="-16"/>
                <w:kern w:val="0"/>
                <w:sz w:val="18"/>
                <w:szCs w:val="18"/>
              </w:rPr>
              <w:t>项(细)目编号</w:t>
            </w:r>
          </w:p>
        </w:tc>
        <w:tc>
          <w:tcPr>
            <w:tcW w:w="1329"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项(细)目</w:t>
            </w:r>
          </w:p>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名称</w:t>
            </w:r>
          </w:p>
        </w:tc>
        <w:tc>
          <w:tcPr>
            <w:tcW w:w="1086"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center"/>
              <w:rPr>
                <w:rFonts w:hint="eastAsia" w:ascii="宋体" w:hAnsi="宋体" w:cs="宋体"/>
                <w:kern w:val="0"/>
                <w:sz w:val="18"/>
                <w:szCs w:val="18"/>
              </w:rPr>
            </w:pPr>
            <w:r>
              <w:rPr>
                <w:rFonts w:hint="eastAsia" w:ascii="宋体" w:hAnsi="宋体" w:cs="宋体"/>
                <w:kern w:val="0"/>
                <w:sz w:val="18"/>
                <w:szCs w:val="18"/>
              </w:rPr>
              <w:t>项目特征</w:t>
            </w:r>
          </w:p>
        </w:tc>
        <w:tc>
          <w:tcPr>
            <w:tcW w:w="630" w:type="dxa"/>
            <w:vMerge w:val="restart"/>
            <w:tcBorders>
              <w:top w:val="single" w:color="auto" w:sz="4" w:space="0"/>
              <w:left w:val="nil"/>
              <w:right w:val="single" w:color="auto" w:sz="4" w:space="0"/>
            </w:tcBorders>
            <w:noWrap/>
            <w:vAlign w:val="center"/>
          </w:tcPr>
          <w:p>
            <w:pPr>
              <w:pStyle w:val="62"/>
              <w:keepNext w:val="0"/>
              <w:keepLines w:val="0"/>
              <w:widowControl/>
              <w:suppressLineNumbers w:val="0"/>
              <w:spacing w:before="0" w:beforeAutospacing="0" w:after="0" w:afterAutospacing="0" w:line="240" w:lineRule="exact"/>
              <w:ind w:left="0" w:right="0"/>
              <w:rPr>
                <w:rFonts w:hint="eastAsia" w:hAnsi="宋体" w:cs="宋体"/>
                <w:spacing w:val="-20"/>
                <w:sz w:val="18"/>
                <w:szCs w:val="18"/>
              </w:rPr>
            </w:pPr>
            <w:r>
              <w:rPr>
                <w:rFonts w:hint="eastAsia" w:hAnsi="宋体" w:cs="宋体"/>
                <w:spacing w:val="-20"/>
                <w:sz w:val="18"/>
                <w:szCs w:val="18"/>
              </w:rPr>
              <w:t>计量单位</w:t>
            </w:r>
          </w:p>
        </w:tc>
        <w:tc>
          <w:tcPr>
            <w:tcW w:w="1155" w:type="dxa"/>
            <w:vMerge w:val="restart"/>
            <w:tcBorders>
              <w:top w:val="single" w:color="auto" w:sz="4" w:space="0"/>
              <w:left w:val="nil"/>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工程量</w:t>
            </w:r>
          </w:p>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计算规则</w:t>
            </w:r>
          </w:p>
        </w:tc>
        <w:tc>
          <w:tcPr>
            <w:tcW w:w="1995"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计价工程内容</w:t>
            </w:r>
          </w:p>
        </w:tc>
        <w:tc>
          <w:tcPr>
            <w:tcW w:w="1785"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计量规则</w:t>
            </w:r>
          </w:p>
        </w:tc>
      </w:tr>
      <w:tr>
        <w:tblPrEx>
          <w:tblCellMar>
            <w:top w:w="0" w:type="dxa"/>
            <w:left w:w="108" w:type="dxa"/>
            <w:bottom w:w="0" w:type="dxa"/>
            <w:right w:w="108" w:type="dxa"/>
          </w:tblCellMar>
        </w:tblPrEx>
        <w:trPr>
          <w:cantSplit/>
          <w:trHeight w:val="466"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章节</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kern w:val="0"/>
                <w:sz w:val="18"/>
                <w:szCs w:val="18"/>
              </w:rPr>
            </w:pPr>
            <w:r>
              <w:rPr>
                <w:rFonts w:hint="eastAsia" w:ascii="宋体" w:hAnsi="宋体" w:cs="宋体"/>
                <w:kern w:val="0"/>
                <w:sz w:val="18"/>
                <w:szCs w:val="18"/>
              </w:rPr>
              <w:t>子目</w:t>
            </w: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kern w:val="0"/>
                <w:sz w:val="18"/>
                <w:szCs w:val="18"/>
              </w:rPr>
            </w:pPr>
            <w:r>
              <w:rPr>
                <w:rFonts w:hint="eastAsia" w:ascii="宋体" w:hAnsi="宋体" w:cs="宋体"/>
                <w:kern w:val="0"/>
                <w:sz w:val="18"/>
                <w:szCs w:val="18"/>
              </w:rPr>
              <w:t>细目</w:t>
            </w:r>
          </w:p>
        </w:tc>
        <w:tc>
          <w:tcPr>
            <w:tcW w:w="1329"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086"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kern w:val="0"/>
                <w:sz w:val="18"/>
                <w:szCs w:val="18"/>
              </w:rPr>
            </w:pPr>
          </w:p>
        </w:tc>
        <w:tc>
          <w:tcPr>
            <w:tcW w:w="630"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p>
        </w:tc>
        <w:tc>
          <w:tcPr>
            <w:tcW w:w="1155" w:type="dxa"/>
            <w:vMerge w:val="continue"/>
            <w:tcBorders>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99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785"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default"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lang w:val="en-US" w:eastAsia="zh-CN"/>
              </w:rPr>
              <w:t>301</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挖除、铣刨、破碎旧路面</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Arial"/>
                <w:color w:val="00000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水泥混凝土路面</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Arial"/>
                <w:color w:val="00000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r>
              <w:rPr>
                <w:rFonts w:hint="eastAsia" w:ascii="宋体" w:hAnsi="宋体" w:cs="宋体"/>
                <w:color w:val="000000"/>
                <w:kern w:val="0"/>
                <w:sz w:val="18"/>
                <w:szCs w:val="18"/>
              </w:rPr>
              <w:t>d</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挖除</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、厚度</w:t>
            </w:r>
          </w:p>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、路面范围</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cs="Arial"/>
                <w:color w:val="000000"/>
                <w:sz w:val="18"/>
                <w:szCs w:val="18"/>
              </w:rPr>
              <w:t>m3</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按设计图表</w:t>
            </w:r>
          </w:p>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所示的路基用地范围，以实有旧路面不同厚度及相应顶面面积计算体积之和</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1、相邻板块切割</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2、弃方处理，施工单位自行考虑堆放位置（不得随意堆放、影响环境）或运至指定消纳场堆放，消纳费不另行计量</w:t>
            </w:r>
          </w:p>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rPr>
            </w:pPr>
            <w:r>
              <w:rPr>
                <w:rStyle w:val="64"/>
                <w:rFonts w:hint="default"/>
              </w:rPr>
              <w:t>2. 挖除后平整压实</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以实际用地范围内挖除的旧</w:t>
            </w:r>
            <w:r>
              <w:rPr>
                <w:rFonts w:hint="eastAsia" w:ascii="SimSun-Identity-H" w:eastAsia="SimSun-Identity-H" w:cs="SimSun-Identity-H"/>
                <w:kern w:val="0"/>
                <w:sz w:val="18"/>
                <w:szCs w:val="18"/>
                <w:lang w:eastAsia="zh-CN"/>
              </w:rPr>
              <w:t>混凝土</w:t>
            </w:r>
            <w:r>
              <w:rPr>
                <w:rFonts w:hint="eastAsia" w:ascii="SimSun-Identity-H" w:eastAsia="SimSun-Identity-H" w:cs="SimSun-Identity-H"/>
                <w:kern w:val="0"/>
                <w:sz w:val="18"/>
                <w:szCs w:val="18"/>
              </w:rPr>
              <w:t>路面不同厚度及相应顶面面积为依据计算体积，按合同单价计算合价后计量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宋体"/>
                <w:color w:val="000000"/>
                <w:kern w:val="0"/>
                <w:sz w:val="18"/>
                <w:szCs w:val="18"/>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沥青混凝土路面</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a</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铣刨</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、厚度</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、路面范围</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rPr>
            </w:pPr>
            <w:r>
              <w:rPr>
                <w:rFonts w:hint="eastAsia" w:cs="Arial"/>
                <w:color w:val="000000"/>
                <w:sz w:val="18"/>
                <w:szCs w:val="18"/>
              </w:rPr>
              <w:t>m3</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按设计图表</w:t>
            </w:r>
          </w:p>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所示的路基用地范围，以实有旧路面不同厚度及相应顶面面积计算体积之和</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1、相邻</w:t>
            </w:r>
            <w:r>
              <w:rPr>
                <w:rStyle w:val="64"/>
                <w:rFonts w:hint="eastAsia" w:eastAsia="宋体"/>
                <w:lang w:eastAsia="zh-CN"/>
              </w:rPr>
              <w:t>沥青</w:t>
            </w:r>
            <w:r>
              <w:rPr>
                <w:rStyle w:val="64"/>
                <w:rFonts w:hint="default"/>
              </w:rPr>
              <w:t>切割</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2、弃方处理，施工单位自行</w:t>
            </w:r>
            <w:r>
              <w:rPr>
                <w:rStyle w:val="64"/>
                <w:rFonts w:hint="default"/>
                <w:lang w:val="en-US" w:eastAsia="zh-CN"/>
              </w:rPr>
              <w:t>回收处置</w:t>
            </w:r>
            <w:r>
              <w:rPr>
                <w:rStyle w:val="64"/>
                <w:rFonts w:hint="default"/>
              </w:rPr>
              <w:t>（不得随意堆放、影响环境）或运至指定消纳场堆放，消纳费不另行计量</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2. 挖除后平整压实</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以实际用地范围内挖除的旧</w:t>
            </w:r>
            <w:r>
              <w:rPr>
                <w:rFonts w:hint="eastAsia" w:ascii="SimSun-Identity-H" w:eastAsia="SimSun-Identity-H" w:cs="SimSun-Identity-H"/>
                <w:kern w:val="0"/>
                <w:sz w:val="18"/>
                <w:szCs w:val="18"/>
                <w:lang w:eastAsia="zh-CN"/>
              </w:rPr>
              <w:t>沥青</w:t>
            </w:r>
            <w:r>
              <w:rPr>
                <w:rFonts w:hint="eastAsia" w:ascii="SimSun-Identity-H" w:eastAsia="SimSun-Identity-H" w:cs="SimSun-Identity-H"/>
                <w:kern w:val="0"/>
                <w:sz w:val="18"/>
                <w:szCs w:val="18"/>
              </w:rPr>
              <w:t>路面不同厚度及相应顶面面积为依据计算体积，按合同单价计算合价后计量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default"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lang w:val="en-US" w:eastAsia="zh-CN"/>
              </w:rPr>
              <w:t>302</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宋体"/>
                <w:color w:val="000000"/>
                <w:kern w:val="0"/>
                <w:sz w:val="18"/>
                <w:szCs w:val="18"/>
                <w:lang w:val="en-US" w:eastAsia="zh-CN"/>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不规则裂缝处治</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宋体"/>
                <w:color w:val="000000"/>
                <w:kern w:val="0"/>
                <w:sz w:val="18"/>
                <w:szCs w:val="18"/>
                <w:lang w:val="en-US" w:eastAsia="zh-CN"/>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抗裂贴</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a</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eastAsia" w:eastAsia="宋体"/>
                <w:lang w:eastAsia="zh-CN"/>
              </w:rPr>
              <w:t>抗裂贴</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numPr>
                <w:ilvl w:val="0"/>
                <w:numId w:val="6"/>
              </w:numPr>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lang w:eastAsia="zh-CN"/>
              </w:rPr>
            </w:pPr>
            <w:r>
              <w:rPr>
                <w:rFonts w:hint="eastAsia" w:ascii="SimSun-Identity-H" w:eastAsia="SimSun-Identity-H" w:cs="SimSun-Identity-H"/>
                <w:kern w:val="0"/>
                <w:sz w:val="18"/>
                <w:szCs w:val="18"/>
                <w:lang w:eastAsia="zh-CN"/>
              </w:rPr>
              <w:t>设计尺寸</w:t>
            </w:r>
          </w:p>
          <w:p>
            <w:pPr>
              <w:keepNext w:val="0"/>
              <w:keepLines w:val="0"/>
              <w:numPr>
                <w:ilvl w:val="0"/>
                <w:numId w:val="6"/>
              </w:numPr>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lang w:eastAsia="zh-CN"/>
              </w:rPr>
            </w:pPr>
            <w:r>
              <w:rPr>
                <w:rFonts w:hint="eastAsia" w:ascii="SimSun-Identity-H" w:eastAsia="SimSun-Identity-H" w:cs="SimSun-Identity-H"/>
                <w:kern w:val="0"/>
                <w:sz w:val="18"/>
                <w:szCs w:val="18"/>
                <w:lang w:eastAsia="zh-CN"/>
              </w:rPr>
              <w:t>材料要求</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lang w:val="en-US" w:eastAsia="zh-CN"/>
              </w:rPr>
              <w:t>3</w:t>
            </w:r>
            <w:r>
              <w:rPr>
                <w:rFonts w:hint="eastAsia" w:ascii="SimSun-Identity-H" w:eastAsia="SimSun-Identity-H" w:cs="SimSun-Identity-H"/>
                <w:kern w:val="0"/>
                <w:sz w:val="18"/>
                <w:szCs w:val="18"/>
              </w:rPr>
              <w:t>、路面范围</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rPr>
            </w:pPr>
            <w:r>
              <w:rPr>
                <w:rFonts w:hint="eastAsia" w:cs="Arial"/>
                <w:color w:val="000000"/>
                <w:sz w:val="18"/>
                <w:szCs w:val="18"/>
              </w:rPr>
              <w:t>m2</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按设计图所示，以设计</w:t>
            </w:r>
            <w:r>
              <w:rPr>
                <w:rFonts w:hint="eastAsia" w:ascii="SimSun-Identity-H" w:eastAsia="SimSun-Identity-H" w:cs="SimSun-Identity-H"/>
                <w:kern w:val="0"/>
                <w:sz w:val="18"/>
                <w:szCs w:val="18"/>
                <w:lang w:eastAsia="zh-CN"/>
              </w:rPr>
              <w:t>摊铺</w:t>
            </w:r>
            <w:r>
              <w:rPr>
                <w:rFonts w:hint="eastAsia" w:ascii="SimSun-Identity-H" w:eastAsia="SimSun-Identity-H" w:cs="SimSun-Identity-H"/>
                <w:kern w:val="0"/>
                <w:sz w:val="18"/>
                <w:szCs w:val="18"/>
              </w:rPr>
              <w:t>面积计算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lang w:val="en-US" w:eastAsia="zh-CN"/>
              </w:rPr>
            </w:pPr>
            <w:r>
              <w:rPr>
                <w:rStyle w:val="64"/>
                <w:rFonts w:hint="default"/>
                <w:lang w:val="en-US" w:eastAsia="zh-CN"/>
              </w:rPr>
              <w:t>1.清理工作面</w:t>
            </w:r>
          </w:p>
          <w:p>
            <w:pPr>
              <w:keepNext w:val="0"/>
              <w:keepLines w:val="0"/>
              <w:suppressLineNumbers w:val="0"/>
              <w:autoSpaceDE w:val="0"/>
              <w:autoSpaceDN w:val="0"/>
              <w:adjustRightInd w:val="0"/>
              <w:spacing w:before="0" w:beforeAutospacing="0" w:after="0" w:afterAutospacing="0"/>
              <w:ind w:left="0" w:right="0"/>
              <w:jc w:val="left"/>
              <w:rPr>
                <w:rStyle w:val="64"/>
                <w:rFonts w:hint="default"/>
                <w:lang w:val="en-US" w:eastAsia="zh-CN"/>
              </w:rPr>
            </w:pPr>
            <w:r>
              <w:rPr>
                <w:rStyle w:val="64"/>
                <w:rFonts w:hint="default"/>
                <w:lang w:val="en-US" w:eastAsia="zh-CN"/>
              </w:rPr>
              <w:t>2.抗裂贴采购、安装</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lang w:val="en-US" w:eastAsia="zh-CN"/>
              </w:rPr>
              <w:t>3.清理现场</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以实际用地范围内</w:t>
            </w:r>
            <w:r>
              <w:rPr>
                <w:rFonts w:hint="eastAsia" w:ascii="SimSun-Identity-H" w:eastAsia="SimSun-Identity-H" w:cs="SimSun-Identity-H"/>
                <w:kern w:val="0"/>
                <w:sz w:val="18"/>
                <w:szCs w:val="18"/>
                <w:lang w:eastAsia="zh-CN"/>
              </w:rPr>
              <w:t>摊铺</w:t>
            </w:r>
            <w:r>
              <w:rPr>
                <w:rFonts w:hint="eastAsia" w:ascii="SimSun-Identity-H" w:eastAsia="SimSun-Identity-H" w:cs="SimSun-Identity-H"/>
                <w:kern w:val="0"/>
                <w:sz w:val="18"/>
                <w:szCs w:val="18"/>
              </w:rPr>
              <w:t>面积计算</w:t>
            </w:r>
            <w:r>
              <w:rPr>
                <w:rFonts w:hint="eastAsia" w:ascii="SimSun-Identity-H" w:eastAsia="SimSun-Identity-H" w:cs="SimSun-Identity-H"/>
                <w:kern w:val="0"/>
                <w:sz w:val="18"/>
                <w:szCs w:val="18"/>
                <w:lang w:eastAsia="zh-CN"/>
              </w:rPr>
              <w:t>数量</w:t>
            </w:r>
            <w:r>
              <w:rPr>
                <w:rFonts w:hint="eastAsia" w:ascii="SimSun-Identity-H" w:eastAsia="SimSun-Identity-H" w:cs="SimSun-Identity-H"/>
                <w:kern w:val="0"/>
                <w:sz w:val="18"/>
                <w:szCs w:val="18"/>
              </w:rPr>
              <w:t>，按合同单价计算合价后计量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r>
              <w:rPr>
                <w:rFonts w:hint="eastAsia" w:ascii="宋体" w:hAnsi="宋体" w:cs="宋体"/>
                <w:color w:val="000000"/>
                <w:spacing w:val="-20"/>
                <w:kern w:val="0"/>
                <w:sz w:val="18"/>
                <w:szCs w:val="18"/>
              </w:rPr>
              <w:t>3</w:t>
            </w:r>
            <w:r>
              <w:rPr>
                <w:rFonts w:hint="eastAsia" w:ascii="宋体" w:hAnsi="宋体" w:cs="宋体"/>
                <w:color w:val="000000"/>
                <w:spacing w:val="-20"/>
                <w:kern w:val="0"/>
                <w:sz w:val="18"/>
                <w:szCs w:val="18"/>
                <w:lang w:val="en-US" w:eastAsia="zh-CN"/>
              </w:rPr>
              <w:t>1</w:t>
            </w:r>
            <w:r>
              <w:rPr>
                <w:rFonts w:hint="eastAsia" w:ascii="宋体" w:hAnsi="宋体" w:cs="宋体"/>
                <w:color w:val="000000"/>
                <w:spacing w:val="-20"/>
                <w:kern w:val="0"/>
                <w:sz w:val="18"/>
                <w:szCs w:val="18"/>
              </w:rPr>
              <w:t>5</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修复水泥混凝土路面</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破板修复</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a</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18cm厚水泥砼路面（4.5MPa）</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1. </w:t>
            </w:r>
            <w:r>
              <w:rPr>
                <w:rFonts w:hint="eastAsia" w:ascii="SimSun-Identity-H" w:eastAsia="SimSun-Identity-H" w:cs="SimSun-Identity-H"/>
                <w:kern w:val="0"/>
                <w:sz w:val="18"/>
                <w:szCs w:val="18"/>
              </w:rPr>
              <w:t>破板类型</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2. </w:t>
            </w:r>
            <w:r>
              <w:rPr>
                <w:rFonts w:hint="eastAsia" w:ascii="SimSun-Identity-H" w:eastAsia="SimSun-Identity-H" w:cs="SimSun-Identity-H"/>
                <w:kern w:val="0"/>
                <w:sz w:val="18"/>
                <w:szCs w:val="18"/>
              </w:rPr>
              <w:t>修复方法</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3. </w:t>
            </w:r>
            <w:r>
              <w:rPr>
                <w:rFonts w:hint="eastAsia" w:ascii="SimSun-Identity-H" w:eastAsia="SimSun-Identity-H" w:cs="SimSun-Identity-H"/>
                <w:kern w:val="0"/>
                <w:sz w:val="18"/>
                <w:szCs w:val="18"/>
              </w:rPr>
              <w:t>材料规格</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4. </w:t>
            </w:r>
            <w:r>
              <w:rPr>
                <w:rFonts w:hint="eastAsia" w:ascii="SimSun-Identity-H" w:eastAsia="SimSun-Identity-H" w:cs="SimSun-Identity-H"/>
                <w:kern w:val="0"/>
                <w:sz w:val="18"/>
                <w:szCs w:val="18"/>
              </w:rPr>
              <w:t>配合比</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5. </w:t>
            </w:r>
            <w:r>
              <w:rPr>
                <w:rFonts w:hint="eastAsia" w:ascii="SimSun-Identity-H" w:eastAsia="SimSun-Identity-H" w:cs="SimSun-Identity-H"/>
                <w:kern w:val="0"/>
                <w:sz w:val="18"/>
                <w:szCs w:val="18"/>
              </w:rPr>
              <w:t>外掺材料品种、用量</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6. </w:t>
            </w:r>
            <w:r>
              <w:rPr>
                <w:rFonts w:hint="eastAsia" w:ascii="SimSun-Identity-H" w:eastAsia="SimSun-Identity-H" w:cs="SimSun-Identity-H"/>
                <w:kern w:val="0"/>
                <w:sz w:val="18"/>
                <w:szCs w:val="18"/>
              </w:rPr>
              <w:t>厚度</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Fonts w:hint="default" w:ascii="SimSun-Identity-H" w:eastAsia="SimSun-Identity-H" w:cs="SimSun-Identity-H"/>
                <w:kern w:val="0"/>
                <w:sz w:val="18"/>
                <w:szCs w:val="18"/>
              </w:rPr>
              <w:t xml:space="preserve">7. </w:t>
            </w:r>
            <w:r>
              <w:rPr>
                <w:rFonts w:hint="eastAsia" w:ascii="SimSun-Identity-H" w:eastAsia="SimSun-Identity-H" w:cs="SimSun-Identity-H"/>
                <w:kern w:val="0"/>
                <w:sz w:val="18"/>
                <w:szCs w:val="18"/>
              </w:rPr>
              <w:t>强度等级</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r>
              <w:rPr>
                <w:rFonts w:hint="eastAsia" w:cs="Arial"/>
                <w:color w:val="000000"/>
                <w:sz w:val="18"/>
                <w:szCs w:val="18"/>
              </w:rPr>
              <w:t>m2</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Fonts w:hint="eastAsia" w:ascii="SimSun-Identity-H" w:eastAsia="SimSun-Identity-H" w:cs="SimSun-Identity-H"/>
                <w:kern w:val="0"/>
                <w:sz w:val="18"/>
                <w:szCs w:val="18"/>
              </w:rPr>
              <w:t>按设计图所示，以设计修复或加铺破板面积计算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、路基开挖后整平、压实</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、清理下承面、湿</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润</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3</w:t>
            </w:r>
            <w:r>
              <w:rPr>
                <w:rFonts w:hint="eastAsia" w:ascii="SimSun-Identity-H" w:eastAsia="SimSun-Identity-H" w:cs="SimSun-Identity-H"/>
                <w:kern w:val="0"/>
                <w:sz w:val="18"/>
                <w:szCs w:val="18"/>
              </w:rPr>
              <w:t>、模板架设和拆</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除</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4</w:t>
            </w:r>
            <w:r>
              <w:rPr>
                <w:rFonts w:hint="eastAsia" w:ascii="SimSun-Identity-H" w:eastAsia="SimSun-Identity-H" w:cs="SimSun-Identity-H"/>
                <w:kern w:val="0"/>
                <w:sz w:val="18"/>
                <w:szCs w:val="18"/>
              </w:rPr>
              <w:t>、拌和、运输</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5</w:t>
            </w:r>
            <w:r>
              <w:rPr>
                <w:rFonts w:hint="eastAsia" w:ascii="SimSun-Identity-H" w:eastAsia="SimSun-Identity-H" w:cs="SimSun-Identity-H"/>
                <w:kern w:val="0"/>
                <w:sz w:val="18"/>
                <w:szCs w:val="18"/>
              </w:rPr>
              <w:t>、摊铺、振捣、抹</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平或碾压</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6</w:t>
            </w:r>
            <w:r>
              <w:rPr>
                <w:rFonts w:hint="eastAsia" w:ascii="SimSun-Identity-H" w:eastAsia="SimSun-Identity-H" w:cs="SimSun-Identity-H"/>
                <w:kern w:val="0"/>
                <w:sz w:val="18"/>
                <w:szCs w:val="18"/>
              </w:rPr>
              <w:t>、拉杆、传力杆及</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接缝制作安装</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7</w:t>
            </w:r>
            <w:r>
              <w:rPr>
                <w:rFonts w:hint="eastAsia" w:ascii="SimSun-Identity-H" w:eastAsia="SimSun-Identity-H" w:cs="SimSun-Identity-H"/>
                <w:kern w:val="0"/>
                <w:sz w:val="18"/>
                <w:szCs w:val="18"/>
              </w:rPr>
              <w:t>、补强及其支架</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钢筋制作安装</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8</w:t>
            </w:r>
            <w:r>
              <w:rPr>
                <w:rFonts w:hint="eastAsia" w:ascii="SimSun-Identity-H" w:eastAsia="SimSun-Identity-H" w:cs="SimSun-Identity-H"/>
                <w:kern w:val="0"/>
                <w:sz w:val="18"/>
                <w:szCs w:val="18"/>
              </w:rPr>
              <w:t>、压（</w:t>
            </w:r>
            <w:r>
              <w:rPr>
                <w:rFonts w:hint="default" w:ascii="SimSun-Identity-H" w:eastAsia="SimSun-Identity-H" w:cs="SimSun-Identity-H"/>
                <w:kern w:val="0"/>
                <w:sz w:val="18"/>
                <w:szCs w:val="18"/>
              </w:rPr>
              <w:t xml:space="preserve"> </w:t>
            </w:r>
            <w:r>
              <w:rPr>
                <w:rFonts w:hint="eastAsia" w:ascii="SimSun-Identity-H" w:eastAsia="SimSun-Identity-H" w:cs="SimSun-Identity-H"/>
                <w:kern w:val="0"/>
                <w:sz w:val="18"/>
                <w:szCs w:val="18"/>
              </w:rPr>
              <w:t>刻）纹（</w:t>
            </w:r>
            <w:r>
              <w:rPr>
                <w:rFonts w:hint="default" w:ascii="SimSun-Identity-H" w:eastAsia="SimSun-Identity-H" w:cs="SimSun-Identity-H"/>
                <w:kern w:val="0"/>
                <w:sz w:val="18"/>
                <w:szCs w:val="18"/>
              </w:rPr>
              <w:t xml:space="preserve"> </w:t>
            </w:r>
            <w:r>
              <w:rPr>
                <w:rFonts w:hint="eastAsia" w:ascii="SimSun-Identity-H" w:eastAsia="SimSun-Identity-H" w:cs="SimSun-Identity-H"/>
                <w:kern w:val="0"/>
                <w:sz w:val="18"/>
                <w:szCs w:val="18"/>
              </w:rPr>
              <w:t>槽）</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9</w:t>
            </w:r>
            <w:r>
              <w:rPr>
                <w:rFonts w:hint="eastAsia" w:ascii="SimSun-Identity-H" w:eastAsia="SimSun-Identity-H" w:cs="SimSun-Identity-H"/>
                <w:kern w:val="0"/>
                <w:sz w:val="18"/>
                <w:szCs w:val="18"/>
              </w:rPr>
              <w:t>、切缝、填灌缝</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Fonts w:hint="default" w:ascii="SimSun-Identity-H" w:eastAsia="SimSun-Identity-H" w:cs="SimSun-Identity-H"/>
                <w:kern w:val="0"/>
                <w:sz w:val="18"/>
                <w:szCs w:val="18"/>
              </w:rPr>
              <w:t>10</w:t>
            </w:r>
            <w:r>
              <w:rPr>
                <w:rFonts w:hint="eastAsia" w:ascii="SimSun-Identity-H" w:eastAsia="SimSun-Identity-H" w:cs="SimSun-Identity-H"/>
                <w:kern w:val="0"/>
                <w:sz w:val="18"/>
                <w:szCs w:val="18"/>
              </w:rPr>
              <w:t>、养生</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Fonts w:hint="eastAsia" w:ascii="SimSun-Identity-H" w:eastAsia="SimSun-Identity-H" w:cs="SimSun-Identity-H"/>
                <w:kern w:val="0"/>
                <w:sz w:val="18"/>
                <w:szCs w:val="18"/>
              </w:rPr>
              <w:t>以设计修复或加铺破板面积为依据计算实际数量，按合同单价计算合价后计量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eastAsia" w:eastAsia="宋体"/>
                <w:lang w:val="en-US" w:eastAsia="zh-CN"/>
              </w:rPr>
            </w:pPr>
            <w:r>
              <w:rPr>
                <w:rStyle w:val="64"/>
                <w:rFonts w:hint="eastAsia" w:eastAsia="宋体"/>
                <w:lang w:val="en-US" w:eastAsia="zh-CN"/>
              </w:rPr>
              <w:t>b</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eastAsia="宋体"/>
                <w:lang w:val="en-US" w:eastAsia="zh-CN"/>
              </w:rPr>
            </w:pPr>
            <w:r>
              <w:rPr>
                <w:rStyle w:val="64"/>
                <w:rFonts w:hint="eastAsia" w:eastAsia="宋体"/>
                <w:lang w:val="en-US" w:eastAsia="zh-CN"/>
              </w:rPr>
              <w:t>20</w:t>
            </w:r>
            <w:r>
              <w:rPr>
                <w:rStyle w:val="64"/>
                <w:rFonts w:hint="default"/>
              </w:rPr>
              <w:t>cm厚水泥砼路面（</w:t>
            </w:r>
            <w:r>
              <w:rPr>
                <w:rStyle w:val="64"/>
                <w:rFonts w:hint="eastAsia" w:eastAsia="宋体"/>
                <w:lang w:val="en-US" w:eastAsia="zh-CN"/>
              </w:rPr>
              <w:t>C30</w:t>
            </w:r>
            <w:r>
              <w:rPr>
                <w:rStyle w:val="64"/>
                <w:rFonts w:hint="default"/>
              </w:rPr>
              <w:t>）</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1. </w:t>
            </w:r>
            <w:r>
              <w:rPr>
                <w:rFonts w:hint="eastAsia" w:ascii="SimSun-Identity-H" w:eastAsia="SimSun-Identity-H" w:cs="SimSun-Identity-H"/>
                <w:kern w:val="0"/>
                <w:sz w:val="18"/>
                <w:szCs w:val="18"/>
              </w:rPr>
              <w:t>破板类型</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2. </w:t>
            </w:r>
            <w:r>
              <w:rPr>
                <w:rFonts w:hint="eastAsia" w:ascii="SimSun-Identity-H" w:eastAsia="SimSun-Identity-H" w:cs="SimSun-Identity-H"/>
                <w:kern w:val="0"/>
                <w:sz w:val="18"/>
                <w:szCs w:val="18"/>
              </w:rPr>
              <w:t>修复方法</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3. </w:t>
            </w:r>
            <w:r>
              <w:rPr>
                <w:rFonts w:hint="eastAsia" w:ascii="SimSun-Identity-H" w:eastAsia="SimSun-Identity-H" w:cs="SimSun-Identity-H"/>
                <w:kern w:val="0"/>
                <w:sz w:val="18"/>
                <w:szCs w:val="18"/>
              </w:rPr>
              <w:t>材料规格</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4. </w:t>
            </w:r>
            <w:r>
              <w:rPr>
                <w:rFonts w:hint="eastAsia" w:ascii="SimSun-Identity-H" w:eastAsia="SimSun-Identity-H" w:cs="SimSun-Identity-H"/>
                <w:kern w:val="0"/>
                <w:sz w:val="18"/>
                <w:szCs w:val="18"/>
              </w:rPr>
              <w:t>配合比</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5. </w:t>
            </w:r>
            <w:r>
              <w:rPr>
                <w:rFonts w:hint="eastAsia" w:ascii="SimSun-Identity-H" w:eastAsia="SimSun-Identity-H" w:cs="SimSun-Identity-H"/>
                <w:kern w:val="0"/>
                <w:sz w:val="18"/>
                <w:szCs w:val="18"/>
              </w:rPr>
              <w:t>外掺材料品种、用量</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 xml:space="preserve">6. </w:t>
            </w:r>
            <w:r>
              <w:rPr>
                <w:rFonts w:hint="eastAsia" w:ascii="SimSun-Identity-H" w:eastAsia="SimSun-Identity-H" w:cs="SimSun-Identity-H"/>
                <w:kern w:val="0"/>
                <w:sz w:val="18"/>
                <w:szCs w:val="18"/>
              </w:rPr>
              <w:t>厚度</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Fonts w:hint="default" w:ascii="SimSun-Identity-H" w:eastAsia="SimSun-Identity-H" w:cs="SimSun-Identity-H"/>
                <w:kern w:val="0"/>
                <w:sz w:val="18"/>
                <w:szCs w:val="18"/>
              </w:rPr>
              <w:t xml:space="preserve">7. </w:t>
            </w:r>
            <w:r>
              <w:rPr>
                <w:rFonts w:hint="eastAsia" w:ascii="SimSun-Identity-H" w:eastAsia="SimSun-Identity-H" w:cs="SimSun-Identity-H"/>
                <w:kern w:val="0"/>
                <w:sz w:val="18"/>
                <w:szCs w:val="18"/>
              </w:rPr>
              <w:t>强度等级</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lang w:val="en-US" w:eastAsia="zh-CN" w:bidi="ar-SA"/>
              </w:rPr>
            </w:pPr>
            <w:r>
              <w:rPr>
                <w:rFonts w:hint="eastAsia" w:cs="Arial"/>
                <w:color w:val="000000"/>
                <w:sz w:val="18"/>
                <w:szCs w:val="18"/>
              </w:rPr>
              <w:t>m2</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eastAsia="宋体"/>
                <w:b w:val="0"/>
                <w:bCs w:val="0"/>
                <w:i w:val="0"/>
                <w:iCs w:val="0"/>
                <w:strike w:val="0"/>
                <w:dstrike w:val="0"/>
                <w:color w:val="000000"/>
                <w:kern w:val="2"/>
                <w:sz w:val="18"/>
                <w:szCs w:val="18"/>
                <w:u w:val="none"/>
                <w:lang w:val="en-US" w:eastAsia="zh-CN" w:bidi="ar-SA"/>
              </w:rPr>
            </w:pPr>
            <w:r>
              <w:rPr>
                <w:rFonts w:hint="eastAsia" w:ascii="SimSun-Identity-H" w:eastAsia="SimSun-Identity-H" w:cs="SimSun-Identity-H"/>
                <w:kern w:val="0"/>
                <w:sz w:val="18"/>
                <w:szCs w:val="18"/>
              </w:rPr>
              <w:t>按设计图所示，以设计修复或加铺破板面积计算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、路基开挖后整平、压实</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、清理下承面、湿</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润</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3</w:t>
            </w:r>
            <w:r>
              <w:rPr>
                <w:rFonts w:hint="eastAsia" w:ascii="SimSun-Identity-H" w:eastAsia="SimSun-Identity-H" w:cs="SimSun-Identity-H"/>
                <w:kern w:val="0"/>
                <w:sz w:val="18"/>
                <w:szCs w:val="18"/>
              </w:rPr>
              <w:t>、模板架设和拆</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除</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4</w:t>
            </w:r>
            <w:r>
              <w:rPr>
                <w:rFonts w:hint="eastAsia" w:ascii="SimSun-Identity-H" w:eastAsia="SimSun-Identity-H" w:cs="SimSun-Identity-H"/>
                <w:kern w:val="0"/>
                <w:sz w:val="18"/>
                <w:szCs w:val="18"/>
              </w:rPr>
              <w:t>、拌和、运输</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5</w:t>
            </w:r>
            <w:r>
              <w:rPr>
                <w:rFonts w:hint="eastAsia" w:ascii="SimSun-Identity-H" w:eastAsia="SimSun-Identity-H" w:cs="SimSun-Identity-H"/>
                <w:kern w:val="0"/>
                <w:sz w:val="18"/>
                <w:szCs w:val="18"/>
              </w:rPr>
              <w:t>、摊铺、振捣、抹</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平或碾压</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6</w:t>
            </w:r>
            <w:r>
              <w:rPr>
                <w:rFonts w:hint="eastAsia" w:ascii="SimSun-Identity-H" w:eastAsia="SimSun-Identity-H" w:cs="SimSun-Identity-H"/>
                <w:kern w:val="0"/>
                <w:sz w:val="18"/>
                <w:szCs w:val="18"/>
              </w:rPr>
              <w:t>、拉杆、传力杆及</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接缝制作安装</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7</w:t>
            </w:r>
            <w:r>
              <w:rPr>
                <w:rFonts w:hint="eastAsia" w:ascii="SimSun-Identity-H" w:eastAsia="SimSun-Identity-H" w:cs="SimSun-Identity-H"/>
                <w:kern w:val="0"/>
                <w:sz w:val="18"/>
                <w:szCs w:val="18"/>
              </w:rPr>
              <w:t>、补强及其支架</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eastAsia" w:ascii="SimSun-Identity-H" w:eastAsia="SimSun-Identity-H" w:cs="SimSun-Identity-H"/>
                <w:kern w:val="0"/>
                <w:sz w:val="18"/>
                <w:szCs w:val="18"/>
              </w:rPr>
              <w:t>钢筋制作安装</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8</w:t>
            </w:r>
            <w:r>
              <w:rPr>
                <w:rFonts w:hint="eastAsia" w:ascii="SimSun-Identity-H" w:eastAsia="SimSun-Identity-H" w:cs="SimSun-Identity-H"/>
                <w:kern w:val="0"/>
                <w:sz w:val="18"/>
                <w:szCs w:val="18"/>
              </w:rPr>
              <w:t>、压（</w:t>
            </w:r>
            <w:r>
              <w:rPr>
                <w:rFonts w:hint="default" w:ascii="SimSun-Identity-H" w:eastAsia="SimSun-Identity-H" w:cs="SimSun-Identity-H"/>
                <w:kern w:val="0"/>
                <w:sz w:val="18"/>
                <w:szCs w:val="18"/>
              </w:rPr>
              <w:t xml:space="preserve"> </w:t>
            </w:r>
            <w:r>
              <w:rPr>
                <w:rFonts w:hint="eastAsia" w:ascii="SimSun-Identity-H" w:eastAsia="SimSun-Identity-H" w:cs="SimSun-Identity-H"/>
                <w:kern w:val="0"/>
                <w:sz w:val="18"/>
                <w:szCs w:val="18"/>
              </w:rPr>
              <w:t>刻）纹（</w:t>
            </w:r>
            <w:r>
              <w:rPr>
                <w:rFonts w:hint="default" w:ascii="SimSun-Identity-H" w:eastAsia="SimSun-Identity-H" w:cs="SimSun-Identity-H"/>
                <w:kern w:val="0"/>
                <w:sz w:val="18"/>
                <w:szCs w:val="18"/>
              </w:rPr>
              <w:t xml:space="preserve"> </w:t>
            </w:r>
            <w:r>
              <w:rPr>
                <w:rFonts w:hint="eastAsia" w:ascii="SimSun-Identity-H" w:eastAsia="SimSun-Identity-H" w:cs="SimSun-Identity-H"/>
                <w:kern w:val="0"/>
                <w:sz w:val="18"/>
                <w:szCs w:val="18"/>
              </w:rPr>
              <w:t>槽）</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9</w:t>
            </w:r>
            <w:r>
              <w:rPr>
                <w:rFonts w:hint="eastAsia" w:ascii="SimSun-Identity-H" w:eastAsia="SimSun-Identity-H" w:cs="SimSun-Identity-H"/>
                <w:kern w:val="0"/>
                <w:sz w:val="18"/>
                <w:szCs w:val="18"/>
              </w:rPr>
              <w:t>、切缝、填灌缝</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eastAsia="宋体"/>
                <w:b w:val="0"/>
                <w:bCs w:val="0"/>
                <w:i w:val="0"/>
                <w:iCs w:val="0"/>
                <w:strike w:val="0"/>
                <w:dstrike w:val="0"/>
                <w:color w:val="000000"/>
                <w:kern w:val="2"/>
                <w:sz w:val="18"/>
                <w:szCs w:val="18"/>
                <w:u w:val="none"/>
                <w:lang w:val="en-US" w:eastAsia="zh-CN" w:bidi="ar-SA"/>
              </w:rPr>
            </w:pPr>
            <w:r>
              <w:rPr>
                <w:rFonts w:hint="default" w:ascii="SimSun-Identity-H" w:eastAsia="SimSun-Identity-H" w:cs="SimSun-Identity-H"/>
                <w:kern w:val="0"/>
                <w:sz w:val="18"/>
                <w:szCs w:val="18"/>
              </w:rPr>
              <w:t>10</w:t>
            </w:r>
            <w:r>
              <w:rPr>
                <w:rFonts w:hint="eastAsia" w:ascii="SimSun-Identity-H" w:eastAsia="SimSun-Identity-H" w:cs="SimSun-Identity-H"/>
                <w:kern w:val="0"/>
                <w:sz w:val="18"/>
                <w:szCs w:val="18"/>
              </w:rPr>
              <w:t>、养生</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eastAsia="宋体"/>
                <w:b w:val="0"/>
                <w:bCs w:val="0"/>
                <w:i w:val="0"/>
                <w:iCs w:val="0"/>
                <w:strike w:val="0"/>
                <w:dstrike w:val="0"/>
                <w:color w:val="000000"/>
                <w:kern w:val="2"/>
                <w:sz w:val="18"/>
                <w:szCs w:val="18"/>
                <w:u w:val="none"/>
                <w:lang w:val="en-US" w:eastAsia="zh-CN" w:bidi="ar-SA"/>
              </w:rPr>
            </w:pPr>
            <w:r>
              <w:rPr>
                <w:rFonts w:hint="eastAsia" w:ascii="SimSun-Identity-H" w:eastAsia="SimSun-Identity-H" w:cs="SimSun-Identity-H"/>
                <w:kern w:val="0"/>
                <w:sz w:val="18"/>
                <w:szCs w:val="18"/>
              </w:rPr>
              <w:t>以设计修复或加铺破板面积为依据计算实际数量，按合同单价计算合价后计量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eastAsia" w:eastAsia="宋体"/>
                <w:lang w:eastAsia="zh-CN"/>
              </w:rPr>
            </w:pPr>
            <w:r>
              <w:rPr>
                <w:rStyle w:val="64"/>
                <w:rFonts w:hint="default"/>
              </w:rPr>
              <w:t>裂缝维修</w:t>
            </w:r>
            <w:r>
              <w:rPr>
                <w:rStyle w:val="64"/>
                <w:rFonts w:hint="eastAsia" w:eastAsia="宋体"/>
                <w:lang w:eastAsia="zh-CN"/>
              </w:rPr>
              <w:t>（</w:t>
            </w:r>
            <w:r>
              <w:rPr>
                <w:rStyle w:val="64"/>
                <w:rFonts w:hint="default"/>
              </w:rPr>
              <w:t>改性沥青灌缝</w:t>
            </w:r>
            <w:r>
              <w:rPr>
                <w:rStyle w:val="64"/>
                <w:rFonts w:hint="eastAsia" w:eastAsia="宋体"/>
                <w:lang w:eastAsia="zh-CN"/>
              </w:rPr>
              <w:t>）</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、裂缝类型、宽度</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hAnsi="Times New Roman" w:eastAsia="SimSun-Identity-H" w:cs="SimSun-Identity-H"/>
                <w:b w:val="0"/>
                <w:bCs w:val="0"/>
                <w:i w:val="0"/>
                <w:iCs w:val="0"/>
                <w:strike w:val="0"/>
                <w:dstrike w:val="0"/>
                <w:color w:val="auto"/>
                <w:kern w:val="0"/>
                <w:sz w:val="18"/>
                <w:szCs w:val="18"/>
                <w:u w:val="none"/>
                <w:lang w:val="en-US" w:eastAsia="zh-CN" w:bidi="ar-SA"/>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、处理方法</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lang w:val="en-US" w:eastAsia="zh-CN" w:bidi="ar-SA"/>
              </w:rPr>
            </w:pPr>
            <w:r>
              <w:rPr>
                <w:rFonts w:hint="eastAsia" w:ascii="宋体" w:hAnsi="宋体" w:cs="宋体"/>
                <w:color w:val="000000"/>
                <w:kern w:val="0"/>
                <w:sz w:val="18"/>
                <w:szCs w:val="18"/>
              </w:rPr>
              <w:t>m</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hAnsi="Times New Roman" w:eastAsia="SimSun-Identity-H" w:cs="SimSun-Identity-H"/>
                <w:b w:val="0"/>
                <w:bCs w:val="0"/>
                <w:i w:val="0"/>
                <w:iCs w:val="0"/>
                <w:strike w:val="0"/>
                <w:dstrike w:val="0"/>
                <w:color w:val="auto"/>
                <w:kern w:val="0"/>
                <w:sz w:val="18"/>
                <w:szCs w:val="18"/>
                <w:u w:val="none"/>
                <w:lang w:val="en-US" w:eastAsia="zh-CN" w:bidi="ar-SA"/>
              </w:rPr>
            </w:pPr>
            <w:r>
              <w:rPr>
                <w:rFonts w:hint="eastAsia" w:ascii="SimSun-Identity-H" w:eastAsia="SimSun-Identity-H" w:cs="SimSun-Identity-H"/>
                <w:kern w:val="0"/>
                <w:sz w:val="18"/>
                <w:szCs w:val="18"/>
              </w:rPr>
              <w:t>按设计图所示，以设计接缝（或裂缝）灌缝长度计算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1、清除缝中</w:t>
            </w:r>
            <w:r>
              <w:rPr>
                <w:rStyle w:val="64"/>
              </w:rPr>
              <w:t>杂物</w:t>
            </w:r>
          </w:p>
          <w:p>
            <w:pPr>
              <w:keepNext w:val="0"/>
              <w:keepLines w:val="0"/>
              <w:suppressLineNumbers w:val="0"/>
              <w:autoSpaceDE w:val="0"/>
              <w:autoSpaceDN w:val="0"/>
              <w:adjustRightInd w:val="0"/>
              <w:spacing w:before="0" w:beforeAutospacing="0" w:after="0" w:afterAutospacing="0"/>
              <w:ind w:left="0" w:right="0"/>
              <w:jc w:val="left"/>
              <w:rPr>
                <w:rStyle w:val="64"/>
                <w:rFonts w:hint="default"/>
              </w:rPr>
            </w:pPr>
            <w:r>
              <w:rPr>
                <w:rStyle w:val="64"/>
                <w:rFonts w:hint="default"/>
              </w:rPr>
              <w:t>2、灌填缝料</w:t>
            </w:r>
          </w:p>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eastAsia="宋体"/>
                <w:b w:val="0"/>
                <w:bCs w:val="0"/>
                <w:i w:val="0"/>
                <w:iCs w:val="0"/>
                <w:strike w:val="0"/>
                <w:dstrike w:val="0"/>
                <w:color w:val="000000"/>
                <w:kern w:val="2"/>
                <w:sz w:val="18"/>
                <w:szCs w:val="18"/>
                <w:u w:val="none"/>
                <w:lang w:val="en-US" w:eastAsia="zh-CN" w:bidi="ar-SA"/>
              </w:rPr>
            </w:pPr>
            <w:r>
              <w:rPr>
                <w:rStyle w:val="64"/>
                <w:rFonts w:hint="default"/>
              </w:rPr>
              <w:t>3、养生</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hAnsi="Times New Roman" w:eastAsia="SimSun-Identity-H" w:cs="SimSun-Identity-H"/>
                <w:b w:val="0"/>
                <w:bCs w:val="0"/>
                <w:i w:val="0"/>
                <w:iCs w:val="0"/>
                <w:strike w:val="0"/>
                <w:dstrike w:val="0"/>
                <w:color w:val="auto"/>
                <w:kern w:val="0"/>
                <w:sz w:val="18"/>
                <w:szCs w:val="18"/>
                <w:u w:val="none"/>
                <w:lang w:val="en-US" w:eastAsia="zh-CN" w:bidi="ar-SA"/>
              </w:rPr>
            </w:pPr>
            <w:r>
              <w:rPr>
                <w:rFonts w:hint="eastAsia" w:ascii="SimSun-Identity-H" w:eastAsia="SimSun-Identity-H" w:cs="SimSun-Identity-H"/>
                <w:kern w:val="0"/>
                <w:sz w:val="18"/>
                <w:szCs w:val="18"/>
              </w:rPr>
              <w:t>以设计灌缝长度为依据计算实际数量，按合同单价计算合价后计量</w:t>
            </w:r>
          </w:p>
        </w:tc>
      </w:tr>
    </w:tbl>
    <w:p>
      <w:pPr>
        <w:rPr>
          <w:rFonts w:hint="eastAsia"/>
          <w:sz w:val="24"/>
          <w:lang w:val="en-US" w:eastAsia="zh-CN"/>
        </w:rPr>
      </w:pPr>
    </w:p>
    <w:p>
      <w:pPr>
        <w:rPr>
          <w:rFonts w:hint="eastAsia"/>
          <w:sz w:val="24"/>
        </w:rPr>
      </w:pPr>
    </w:p>
    <w:p>
      <w:pPr>
        <w:rPr>
          <w:rFonts w:hint="eastAsia"/>
          <w:sz w:val="24"/>
        </w:rPr>
      </w:pPr>
      <w:r>
        <w:rPr>
          <w:rFonts w:hint="eastAsia"/>
          <w:sz w:val="24"/>
        </w:rPr>
        <w:t>600章  安全设施及预埋管线工程</w:t>
      </w:r>
    </w:p>
    <w:tbl>
      <w:tblPr>
        <w:tblStyle w:val="24"/>
        <w:tblW w:w="9345" w:type="dxa"/>
        <w:tblInd w:w="108" w:type="dxa"/>
        <w:tblLayout w:type="fixed"/>
        <w:tblCellMar>
          <w:top w:w="0" w:type="dxa"/>
          <w:left w:w="108" w:type="dxa"/>
          <w:bottom w:w="0" w:type="dxa"/>
          <w:right w:w="108" w:type="dxa"/>
        </w:tblCellMar>
      </w:tblPr>
      <w:tblGrid>
        <w:gridCol w:w="525"/>
        <w:gridCol w:w="420"/>
        <w:gridCol w:w="420"/>
        <w:gridCol w:w="1329"/>
        <w:gridCol w:w="1086"/>
        <w:gridCol w:w="630"/>
        <w:gridCol w:w="1155"/>
        <w:gridCol w:w="1995"/>
        <w:gridCol w:w="1785"/>
      </w:tblGrid>
      <w:tr>
        <w:tblPrEx>
          <w:tblCellMar>
            <w:top w:w="0" w:type="dxa"/>
            <w:left w:w="108" w:type="dxa"/>
            <w:bottom w:w="0" w:type="dxa"/>
            <w:right w:w="108" w:type="dxa"/>
          </w:tblCellMar>
        </w:tblPrEx>
        <w:trPr>
          <w:cantSplit/>
          <w:trHeight w:val="460" w:hRule="atLeast"/>
        </w:trPr>
        <w:tc>
          <w:tcPr>
            <w:tcW w:w="136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spacing w:val="-16"/>
                <w:kern w:val="0"/>
                <w:sz w:val="18"/>
                <w:szCs w:val="18"/>
              </w:rPr>
            </w:pPr>
            <w:r>
              <w:rPr>
                <w:rFonts w:hint="eastAsia" w:ascii="宋体" w:hAnsi="宋体" w:cs="宋体"/>
                <w:spacing w:val="-16"/>
                <w:kern w:val="0"/>
                <w:sz w:val="18"/>
                <w:szCs w:val="18"/>
              </w:rPr>
              <w:t>项(细)目编号</w:t>
            </w:r>
          </w:p>
        </w:tc>
        <w:tc>
          <w:tcPr>
            <w:tcW w:w="1329"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项(细)目</w:t>
            </w:r>
          </w:p>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名称</w:t>
            </w:r>
          </w:p>
        </w:tc>
        <w:tc>
          <w:tcPr>
            <w:tcW w:w="1086"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center"/>
              <w:rPr>
                <w:rFonts w:hint="eastAsia" w:ascii="宋体" w:hAnsi="宋体" w:cs="宋体"/>
                <w:kern w:val="0"/>
                <w:sz w:val="18"/>
                <w:szCs w:val="18"/>
              </w:rPr>
            </w:pPr>
            <w:r>
              <w:rPr>
                <w:rFonts w:hint="eastAsia" w:ascii="宋体" w:hAnsi="宋体" w:cs="宋体"/>
                <w:kern w:val="0"/>
                <w:sz w:val="18"/>
                <w:szCs w:val="18"/>
              </w:rPr>
              <w:t>项目特征</w:t>
            </w:r>
          </w:p>
        </w:tc>
        <w:tc>
          <w:tcPr>
            <w:tcW w:w="630" w:type="dxa"/>
            <w:vMerge w:val="restart"/>
            <w:tcBorders>
              <w:top w:val="single" w:color="auto" w:sz="4" w:space="0"/>
              <w:left w:val="nil"/>
              <w:right w:val="single" w:color="auto" w:sz="4" w:space="0"/>
            </w:tcBorders>
            <w:noWrap/>
            <w:vAlign w:val="center"/>
          </w:tcPr>
          <w:p>
            <w:pPr>
              <w:pStyle w:val="62"/>
              <w:keepNext w:val="0"/>
              <w:keepLines w:val="0"/>
              <w:widowControl/>
              <w:suppressLineNumbers w:val="0"/>
              <w:spacing w:before="0" w:beforeAutospacing="0" w:after="0" w:afterAutospacing="0" w:line="240" w:lineRule="exact"/>
              <w:ind w:left="0" w:right="0"/>
              <w:rPr>
                <w:rFonts w:hint="eastAsia" w:hAnsi="宋体" w:cs="宋体"/>
                <w:spacing w:val="-20"/>
                <w:sz w:val="18"/>
                <w:szCs w:val="18"/>
              </w:rPr>
            </w:pPr>
            <w:r>
              <w:rPr>
                <w:rFonts w:hint="eastAsia" w:hAnsi="宋体" w:cs="宋体"/>
                <w:spacing w:val="-20"/>
                <w:sz w:val="18"/>
                <w:szCs w:val="18"/>
              </w:rPr>
              <w:t>计量单位</w:t>
            </w:r>
          </w:p>
        </w:tc>
        <w:tc>
          <w:tcPr>
            <w:tcW w:w="1155" w:type="dxa"/>
            <w:vMerge w:val="restart"/>
            <w:tcBorders>
              <w:top w:val="single" w:color="auto" w:sz="4" w:space="0"/>
              <w:left w:val="nil"/>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工程量</w:t>
            </w:r>
          </w:p>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计算规则</w:t>
            </w:r>
          </w:p>
        </w:tc>
        <w:tc>
          <w:tcPr>
            <w:tcW w:w="1995" w:type="dxa"/>
            <w:vMerge w:val="restart"/>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计价工程内容</w:t>
            </w:r>
          </w:p>
        </w:tc>
        <w:tc>
          <w:tcPr>
            <w:tcW w:w="1785" w:type="dxa"/>
            <w:vMerge w:val="restart"/>
            <w:tcBorders>
              <w:top w:val="single" w:color="auto" w:sz="4" w:space="0"/>
              <w:left w:val="nil"/>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计量规则</w:t>
            </w:r>
          </w:p>
        </w:tc>
      </w:tr>
      <w:tr>
        <w:tblPrEx>
          <w:tblCellMar>
            <w:top w:w="0" w:type="dxa"/>
            <w:left w:w="108" w:type="dxa"/>
            <w:bottom w:w="0" w:type="dxa"/>
            <w:right w:w="108" w:type="dxa"/>
          </w:tblCellMar>
        </w:tblPrEx>
        <w:trPr>
          <w:cantSplit/>
          <w:trHeight w:val="466" w:hRule="atLeast"/>
        </w:trPr>
        <w:tc>
          <w:tcPr>
            <w:tcW w:w="52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r>
              <w:rPr>
                <w:rFonts w:hint="eastAsia" w:ascii="宋体" w:hAnsi="宋体" w:cs="宋体"/>
                <w:kern w:val="0"/>
                <w:sz w:val="18"/>
                <w:szCs w:val="18"/>
              </w:rPr>
              <w:t>章节</w:t>
            </w:r>
          </w:p>
        </w:tc>
        <w:tc>
          <w:tcPr>
            <w:tcW w:w="42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kern w:val="0"/>
                <w:sz w:val="18"/>
                <w:szCs w:val="18"/>
              </w:rPr>
            </w:pPr>
            <w:r>
              <w:rPr>
                <w:rFonts w:hint="eastAsia" w:ascii="宋体" w:hAnsi="宋体" w:cs="宋体"/>
                <w:kern w:val="0"/>
                <w:sz w:val="18"/>
                <w:szCs w:val="18"/>
              </w:rPr>
              <w:t>子目</w:t>
            </w:r>
          </w:p>
        </w:tc>
        <w:tc>
          <w:tcPr>
            <w:tcW w:w="4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kern w:val="0"/>
                <w:sz w:val="18"/>
                <w:szCs w:val="18"/>
              </w:rPr>
            </w:pPr>
            <w:r>
              <w:rPr>
                <w:rFonts w:hint="eastAsia" w:ascii="宋体" w:hAnsi="宋体" w:cs="宋体"/>
                <w:kern w:val="0"/>
                <w:sz w:val="18"/>
                <w:szCs w:val="18"/>
              </w:rPr>
              <w:t>细目</w:t>
            </w:r>
          </w:p>
        </w:tc>
        <w:tc>
          <w:tcPr>
            <w:tcW w:w="1329"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086"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315" w:right="0" w:hanging="315"/>
              <w:jc w:val="left"/>
              <w:rPr>
                <w:rFonts w:hint="eastAsia" w:ascii="宋体" w:hAnsi="宋体" w:cs="宋体"/>
                <w:kern w:val="0"/>
                <w:sz w:val="18"/>
                <w:szCs w:val="18"/>
              </w:rPr>
            </w:pPr>
          </w:p>
        </w:tc>
        <w:tc>
          <w:tcPr>
            <w:tcW w:w="630"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 w:val="18"/>
                <w:szCs w:val="18"/>
              </w:rPr>
            </w:pPr>
          </w:p>
        </w:tc>
        <w:tc>
          <w:tcPr>
            <w:tcW w:w="1155" w:type="dxa"/>
            <w:vMerge w:val="continue"/>
            <w:tcBorders>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995"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kern w:val="0"/>
                <w:sz w:val="18"/>
                <w:szCs w:val="18"/>
              </w:rPr>
            </w:pPr>
          </w:p>
        </w:tc>
        <w:tc>
          <w:tcPr>
            <w:tcW w:w="1785"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rPr>
                <w:rFonts w:hint="eastAsia" w:ascii="宋体" w:hAnsi="宋体" w:cs="宋体"/>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default" w:ascii="宋体" w:hAnsi="宋体" w:eastAsia="宋体" w:cs="宋体"/>
                <w:color w:val="000000"/>
                <w:spacing w:val="-20"/>
                <w:kern w:val="0"/>
                <w:sz w:val="18"/>
                <w:szCs w:val="18"/>
                <w:lang w:val="en-US" w:eastAsia="zh-CN"/>
              </w:rPr>
            </w:pPr>
            <w:r>
              <w:rPr>
                <w:rFonts w:hint="eastAsia" w:ascii="宋体" w:hAnsi="宋体" w:cs="宋体"/>
                <w:color w:val="000000"/>
                <w:spacing w:val="-20"/>
                <w:kern w:val="0"/>
                <w:sz w:val="18"/>
                <w:szCs w:val="18"/>
              </w:rPr>
              <w:t>6</w:t>
            </w:r>
            <w:r>
              <w:rPr>
                <w:rFonts w:hint="eastAsia" w:ascii="宋体" w:hAnsi="宋体" w:cs="宋体"/>
                <w:color w:val="000000"/>
                <w:spacing w:val="-20"/>
                <w:kern w:val="0"/>
                <w:sz w:val="18"/>
                <w:szCs w:val="18"/>
                <w:lang w:val="en-US" w:eastAsia="zh-CN"/>
              </w:rPr>
              <w:t>02</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波形护栏维修</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Arial"/>
                <w:color w:val="00000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rPr>
            </w:pP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Pr>
              <w:t>修复</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ascii="宋体" w:hAnsi="宋体" w:cs="Arial"/>
                <w:color w:val="00000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rPr>
            </w:pP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eastAsia" w:eastAsia="宋体"/>
                <w:lang w:val="en-US" w:eastAsia="zh-CN"/>
              </w:rPr>
            </w:pPr>
            <w:r>
              <w:rPr>
                <w:rStyle w:val="64"/>
                <w:rFonts w:hint="eastAsia" w:eastAsia="宋体"/>
                <w:lang w:val="en-US" w:eastAsia="zh-CN"/>
              </w:rPr>
              <w:t>b</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波形梁钢护栏端头</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1</w:t>
            </w:r>
            <w:r>
              <w:rPr>
                <w:rFonts w:hint="eastAsia" w:ascii="SimSun-Identity-H" w:eastAsia="SimSun-Identity-H" w:cs="SimSun-Identity-H"/>
                <w:kern w:val="0"/>
                <w:sz w:val="18"/>
                <w:szCs w:val="18"/>
              </w:rPr>
              <w:t>、材料规格</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r>
              <w:rPr>
                <w:rFonts w:hint="default" w:ascii="SimSun-Identity-H" w:eastAsia="SimSun-Identity-H" w:cs="SimSun-Identity-H"/>
                <w:kern w:val="0"/>
                <w:sz w:val="18"/>
                <w:szCs w:val="18"/>
              </w:rPr>
              <w:t>2</w:t>
            </w:r>
            <w:r>
              <w:rPr>
                <w:rFonts w:hint="eastAsia" w:ascii="SimSun-Identity-H" w:eastAsia="SimSun-Identity-H" w:cs="SimSun-Identity-H"/>
                <w:kern w:val="0"/>
                <w:sz w:val="18"/>
                <w:szCs w:val="18"/>
              </w:rPr>
              <w:t>、断面尺寸</w:t>
            </w:r>
          </w:p>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default" w:ascii="SimSun-Identity-H" w:eastAsia="SimSun-Identity-H" w:cs="SimSun-Identity-H"/>
                <w:kern w:val="0"/>
                <w:sz w:val="18"/>
                <w:szCs w:val="18"/>
              </w:rPr>
              <w:t>3</w:t>
            </w:r>
            <w:r>
              <w:rPr>
                <w:rFonts w:hint="eastAsia" w:ascii="SimSun-Identity-H" w:eastAsia="SimSun-Identity-H" w:cs="SimSun-Identity-H"/>
                <w:kern w:val="0"/>
                <w:sz w:val="18"/>
                <w:szCs w:val="18"/>
              </w:rPr>
              <w:t>、涂层要求</w:t>
            </w: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lang w:eastAsia="zh-CN"/>
              </w:rPr>
            </w:pPr>
            <w:r>
              <w:rPr>
                <w:rFonts w:hint="eastAsia" w:cs="Arial"/>
                <w:color w:val="000000"/>
                <w:sz w:val="18"/>
                <w:szCs w:val="18"/>
                <w:lang w:eastAsia="zh-CN"/>
              </w:rPr>
              <w:t>个</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lang w:eastAsia="zh-CN"/>
              </w:rPr>
            </w:pPr>
            <w:r>
              <w:rPr>
                <w:rFonts w:hint="eastAsia" w:ascii="SimSun-Identity-H" w:eastAsia="SimSun-Identity-H" w:cs="SimSun-Identity-H"/>
                <w:kern w:val="0"/>
                <w:sz w:val="18"/>
                <w:szCs w:val="18"/>
              </w:rPr>
              <w:t>按设计图所示，以设计的</w:t>
            </w:r>
            <w:r>
              <w:rPr>
                <w:rFonts w:hint="eastAsia" w:ascii="SimSun-Identity-H" w:eastAsia="SimSun-Identity-H" w:cs="SimSun-Identity-H"/>
                <w:kern w:val="0"/>
                <w:sz w:val="18"/>
                <w:szCs w:val="18"/>
                <w:lang w:eastAsia="zh-CN"/>
              </w:rPr>
              <w:t>端头个数</w:t>
            </w:r>
            <w:r>
              <w:rPr>
                <w:rFonts w:hint="eastAsia" w:ascii="SimSun-Identity-H" w:eastAsia="SimSun-Identity-H" w:cs="SimSun-Identity-H"/>
                <w:kern w:val="0"/>
                <w:sz w:val="18"/>
                <w:szCs w:val="18"/>
              </w:rPr>
              <w:t>计算</w:t>
            </w:r>
            <w:r>
              <w:rPr>
                <w:rFonts w:hint="eastAsia" w:ascii="SimSun-Identity-H" w:eastAsia="SimSun-Identity-H" w:cs="SimSun-Identity-H"/>
                <w:kern w:val="0"/>
                <w:sz w:val="18"/>
                <w:szCs w:val="18"/>
                <w:lang w:eastAsia="zh-CN"/>
              </w:rPr>
              <w:t>（</w:t>
            </w:r>
            <w:r>
              <w:rPr>
                <w:rFonts w:hint="eastAsia" w:ascii="SimSun-Identity-H" w:eastAsia="SimSun-Identity-H" w:cs="SimSun-Identity-H"/>
                <w:kern w:val="0"/>
                <w:sz w:val="18"/>
                <w:szCs w:val="18"/>
                <w:lang w:val="en-US" w:eastAsia="zh-CN"/>
              </w:rPr>
              <w:t>反光膜已含在本子目单价中，不另行计量</w:t>
            </w:r>
            <w:r>
              <w:rPr>
                <w:rFonts w:hint="eastAsia" w:ascii="SimSun-Identity-H" w:eastAsia="SimSun-Identity-H" w:cs="SimSun-Identity-H"/>
                <w:kern w:val="0"/>
                <w:sz w:val="18"/>
                <w:szCs w:val="18"/>
                <w:lang w:eastAsia="zh-CN"/>
              </w:rPr>
              <w:t>）</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lang w:val="en-US" w:eastAsia="zh-CN"/>
              </w:rPr>
            </w:pPr>
            <w:r>
              <w:rPr>
                <w:rStyle w:val="64"/>
                <w:rFonts w:hint="default" w:ascii="SimSun-Identity-H" w:hAnsi="Times New Roman" w:eastAsia="SimSun-Identity-H" w:cs="SimSun-Identity-H"/>
                <w:color w:val="auto"/>
                <w:kern w:val="0"/>
                <w:lang w:val="en-US" w:eastAsia="zh-CN"/>
              </w:rPr>
              <w:t>1.护栏端头制作、安装</w:t>
            </w:r>
          </w:p>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rPr>
            </w:pPr>
            <w:r>
              <w:rPr>
                <w:rStyle w:val="64"/>
                <w:rFonts w:hint="default" w:ascii="SimSun-Identity-H" w:hAnsi="Times New Roman" w:eastAsia="SimSun-Identity-H" w:cs="SimSun-Identity-H"/>
                <w:color w:val="auto"/>
                <w:kern w:val="0"/>
                <w:lang w:val="en-US" w:eastAsia="zh-CN"/>
              </w:rPr>
              <w:t>2.清理现场</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以设计或监理工程师指示的</w:t>
            </w:r>
            <w:r>
              <w:rPr>
                <w:rFonts w:hint="eastAsia" w:ascii="SimSun-Identity-H" w:eastAsia="SimSun-Identity-H" w:cs="SimSun-Identity-H"/>
                <w:kern w:val="0"/>
                <w:sz w:val="18"/>
                <w:szCs w:val="18"/>
                <w:lang w:eastAsia="zh-CN"/>
              </w:rPr>
              <w:t>端头个数</w:t>
            </w:r>
            <w:r>
              <w:rPr>
                <w:rFonts w:hint="eastAsia" w:ascii="SimSun-Identity-H" w:eastAsia="SimSun-Identity-H" w:cs="SimSun-Identity-H"/>
                <w:kern w:val="0"/>
                <w:sz w:val="18"/>
                <w:szCs w:val="18"/>
              </w:rPr>
              <w:t>计算实际数量，按合同单价计算合价后计量</w:t>
            </w:r>
          </w:p>
        </w:tc>
      </w:tr>
      <w:tr>
        <w:tblPrEx>
          <w:tblCellMar>
            <w:top w:w="0" w:type="dxa"/>
            <w:left w:w="108" w:type="dxa"/>
            <w:bottom w:w="0" w:type="dxa"/>
            <w:right w:w="108" w:type="dxa"/>
          </w:tblCellMar>
        </w:tblPrEx>
        <w:trPr>
          <w:trHeight w:val="543"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spacing w:val="-20"/>
                <w:kern w:val="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right"/>
              <w:rPr>
                <w:rFonts w:hint="eastAsia" w:ascii="宋体" w:hAnsi="宋体" w:cs="宋体"/>
                <w:color w:val="000000"/>
                <w:kern w:val="0"/>
                <w:sz w:val="18"/>
                <w:szCs w:val="18"/>
              </w:rPr>
            </w:pPr>
          </w:p>
        </w:tc>
        <w:tc>
          <w:tcPr>
            <w:tcW w:w="42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Style w:val="64"/>
                <w:rFonts w:hint="default" w:eastAsia="宋体"/>
                <w:lang w:val="en-US" w:eastAsia="zh-CN"/>
              </w:rPr>
            </w:pPr>
            <w:r>
              <w:rPr>
                <w:rStyle w:val="64"/>
                <w:rFonts w:hint="eastAsia" w:eastAsia="宋体"/>
                <w:lang w:val="en-US" w:eastAsia="zh-CN"/>
              </w:rPr>
              <w:t>c</w:t>
            </w:r>
          </w:p>
        </w:tc>
        <w:tc>
          <w:tcPr>
            <w:tcW w:w="13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Style w:val="64"/>
                <w:rFonts w:hint="default"/>
              </w:rPr>
            </w:pPr>
            <w:r>
              <w:rPr>
                <w:rStyle w:val="64"/>
                <w:rFonts w:hint="default"/>
              </w:rPr>
              <w:t>立柱钻孔，灌浆</w:t>
            </w:r>
          </w:p>
        </w:tc>
        <w:tc>
          <w:tcPr>
            <w:tcW w:w="1086"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both"/>
              <w:rPr>
                <w:rFonts w:hint="default" w:ascii="SimSun-Identity-H" w:eastAsia="SimSun-Identity-H" w:cs="SimSun-Identity-H"/>
                <w:kern w:val="0"/>
                <w:sz w:val="18"/>
                <w:szCs w:val="18"/>
              </w:rPr>
            </w:pPr>
            <w:r>
              <w:rPr>
                <w:rFonts w:hint="eastAsia" w:ascii="SimSun-Identity-H" w:eastAsia="SimSun-Identity-H" w:cs="SimSun-Identity-H"/>
                <w:kern w:val="0"/>
                <w:sz w:val="18"/>
                <w:szCs w:val="18"/>
                <w:lang w:val="en-US" w:eastAsia="zh-CN"/>
              </w:rPr>
              <w:t>1</w:t>
            </w:r>
            <w:r>
              <w:rPr>
                <w:rFonts w:hint="eastAsia" w:ascii="SimSun-Identity-H" w:eastAsia="SimSun-Identity-H" w:cs="SimSun-Identity-H"/>
                <w:kern w:val="0"/>
                <w:sz w:val="18"/>
                <w:szCs w:val="18"/>
              </w:rPr>
              <w:t>、断面尺寸</w:t>
            </w:r>
          </w:p>
          <w:p>
            <w:pPr>
              <w:keepNext w:val="0"/>
              <w:keepLines w:val="0"/>
              <w:suppressLineNumbers w:val="0"/>
              <w:autoSpaceDE w:val="0"/>
              <w:autoSpaceDN w:val="0"/>
              <w:adjustRightInd w:val="0"/>
              <w:spacing w:before="0" w:beforeAutospacing="0" w:after="0" w:afterAutospacing="0"/>
              <w:ind w:left="0" w:right="0"/>
              <w:jc w:val="left"/>
              <w:rPr>
                <w:rFonts w:hint="default" w:ascii="SimSun-Identity-H" w:eastAsia="SimSun-Identity-H" w:cs="SimSun-Identity-H"/>
                <w:kern w:val="0"/>
                <w:sz w:val="18"/>
                <w:szCs w:val="18"/>
              </w:rPr>
            </w:pPr>
          </w:p>
        </w:tc>
        <w:tc>
          <w:tcPr>
            <w:tcW w:w="63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cs="Arial"/>
                <w:color w:val="000000"/>
                <w:sz w:val="18"/>
                <w:szCs w:val="18"/>
                <w:lang w:eastAsia="zh-CN"/>
              </w:rPr>
            </w:pPr>
            <w:r>
              <w:rPr>
                <w:rFonts w:hint="eastAsia" w:cs="Arial"/>
                <w:color w:val="000000"/>
                <w:sz w:val="18"/>
                <w:szCs w:val="18"/>
                <w:lang w:eastAsia="zh-CN"/>
              </w:rPr>
              <w:t>个</w:t>
            </w:r>
          </w:p>
        </w:tc>
        <w:tc>
          <w:tcPr>
            <w:tcW w:w="115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按设计图所示，以设计的</w:t>
            </w:r>
            <w:r>
              <w:rPr>
                <w:rFonts w:hint="eastAsia" w:ascii="SimSun-Identity-H" w:eastAsia="SimSun-Identity-H" w:cs="SimSun-Identity-H"/>
                <w:kern w:val="0"/>
                <w:sz w:val="18"/>
                <w:szCs w:val="18"/>
                <w:lang w:eastAsia="zh-CN"/>
              </w:rPr>
              <w:t>实际钻孔个数</w:t>
            </w:r>
            <w:r>
              <w:rPr>
                <w:rFonts w:hint="eastAsia" w:ascii="SimSun-Identity-H" w:eastAsia="SimSun-Identity-H" w:cs="SimSun-Identity-H"/>
                <w:kern w:val="0"/>
                <w:sz w:val="18"/>
                <w:szCs w:val="18"/>
              </w:rPr>
              <w:t>计算</w:t>
            </w:r>
            <w:r>
              <w:rPr>
                <w:rFonts w:hint="eastAsia" w:ascii="SimSun-Identity-H" w:eastAsia="SimSun-Identity-H" w:cs="SimSun-Identity-H"/>
                <w:kern w:val="0"/>
                <w:sz w:val="18"/>
                <w:szCs w:val="18"/>
                <w:lang w:eastAsia="zh-CN"/>
              </w:rPr>
              <w:t>（</w:t>
            </w:r>
            <w:r>
              <w:rPr>
                <w:rFonts w:hint="eastAsia" w:ascii="SimSun-Identity-H" w:eastAsia="SimSun-Identity-H" w:cs="SimSun-Identity-H"/>
                <w:kern w:val="0"/>
                <w:sz w:val="18"/>
                <w:szCs w:val="18"/>
                <w:lang w:val="en-US" w:eastAsia="zh-CN"/>
              </w:rPr>
              <w:t>灌浆已含在本子目单价中，不另行计量</w:t>
            </w:r>
            <w:r>
              <w:rPr>
                <w:rFonts w:hint="eastAsia" w:ascii="SimSun-Identity-H" w:eastAsia="SimSun-Identity-H" w:cs="SimSun-Identity-H"/>
                <w:kern w:val="0"/>
                <w:sz w:val="18"/>
                <w:szCs w:val="18"/>
                <w:lang w:eastAsia="zh-CN"/>
              </w:rPr>
              <w:t>）</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lang w:val="en-US" w:eastAsia="zh-CN"/>
              </w:rPr>
            </w:pPr>
            <w:r>
              <w:rPr>
                <w:rStyle w:val="64"/>
                <w:rFonts w:hint="default" w:ascii="SimSun-Identity-H" w:hAnsi="Times New Roman" w:eastAsia="SimSun-Identity-H" w:cs="SimSun-Identity-H"/>
                <w:color w:val="auto"/>
                <w:kern w:val="0"/>
                <w:lang w:val="en-US" w:eastAsia="zh-CN"/>
              </w:rPr>
              <w:t>1.清理工作面</w:t>
            </w:r>
          </w:p>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lang w:val="en-US" w:eastAsia="zh-CN"/>
              </w:rPr>
            </w:pPr>
            <w:r>
              <w:rPr>
                <w:rStyle w:val="64"/>
                <w:rFonts w:hint="default" w:ascii="SimSun-Identity-H" w:hAnsi="Times New Roman" w:eastAsia="SimSun-Identity-H" w:cs="SimSun-Identity-H"/>
                <w:color w:val="auto"/>
                <w:kern w:val="0"/>
                <w:lang w:val="en-US" w:eastAsia="zh-CN"/>
              </w:rPr>
              <w:t>2.钻孔</w:t>
            </w:r>
          </w:p>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lang w:val="en-US" w:eastAsia="zh-CN"/>
              </w:rPr>
            </w:pPr>
            <w:r>
              <w:rPr>
                <w:rStyle w:val="64"/>
                <w:rFonts w:hint="default" w:ascii="SimSun-Identity-H" w:hAnsi="Times New Roman" w:eastAsia="SimSun-Identity-H" w:cs="SimSun-Identity-H"/>
                <w:color w:val="auto"/>
                <w:kern w:val="0"/>
                <w:lang w:val="en-US" w:eastAsia="zh-CN"/>
              </w:rPr>
              <w:t>3.灌浆</w:t>
            </w:r>
          </w:p>
          <w:p>
            <w:pPr>
              <w:keepNext w:val="0"/>
              <w:keepLines w:val="0"/>
              <w:suppressLineNumbers w:val="0"/>
              <w:autoSpaceDE w:val="0"/>
              <w:autoSpaceDN w:val="0"/>
              <w:adjustRightInd w:val="0"/>
              <w:spacing w:before="0" w:beforeAutospacing="0" w:after="0" w:afterAutospacing="0"/>
              <w:ind w:left="0" w:right="0"/>
              <w:jc w:val="left"/>
              <w:rPr>
                <w:rStyle w:val="64"/>
                <w:rFonts w:hint="default" w:ascii="SimSun-Identity-H" w:hAnsi="Times New Roman" w:eastAsia="SimSun-Identity-H" w:cs="SimSun-Identity-H"/>
                <w:color w:val="auto"/>
                <w:kern w:val="0"/>
                <w:lang w:val="en-US" w:eastAsia="zh-CN"/>
              </w:rPr>
            </w:pPr>
            <w:r>
              <w:rPr>
                <w:rStyle w:val="64"/>
                <w:rFonts w:hint="default" w:ascii="SimSun-Identity-H" w:hAnsi="Times New Roman" w:eastAsia="SimSun-Identity-H" w:cs="SimSun-Identity-H"/>
                <w:color w:val="auto"/>
                <w:kern w:val="0"/>
                <w:lang w:val="en-US" w:eastAsia="zh-CN"/>
              </w:rPr>
              <w:t>4.清理现场</w:t>
            </w:r>
          </w:p>
        </w:tc>
        <w:tc>
          <w:tcPr>
            <w:tcW w:w="1785" w:type="dxa"/>
            <w:tcBorders>
              <w:top w:val="single" w:color="auto" w:sz="4" w:space="0"/>
              <w:left w:val="nil"/>
              <w:bottom w:val="single" w:color="auto" w:sz="4" w:space="0"/>
              <w:right w:val="single" w:color="auto" w:sz="4" w:space="0"/>
            </w:tcBorders>
            <w:noWrap/>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SimSun-Identity-H" w:eastAsia="SimSun-Identity-H" w:cs="SimSun-Identity-H"/>
                <w:kern w:val="0"/>
                <w:sz w:val="18"/>
                <w:szCs w:val="18"/>
              </w:rPr>
            </w:pPr>
            <w:r>
              <w:rPr>
                <w:rFonts w:hint="eastAsia" w:ascii="SimSun-Identity-H" w:eastAsia="SimSun-Identity-H" w:cs="SimSun-Identity-H"/>
                <w:kern w:val="0"/>
                <w:sz w:val="18"/>
                <w:szCs w:val="18"/>
              </w:rPr>
              <w:t>以设计或监理工程师指示的</w:t>
            </w:r>
            <w:r>
              <w:rPr>
                <w:rFonts w:hint="eastAsia" w:ascii="SimSun-Identity-H" w:eastAsia="SimSun-Identity-H" w:cs="SimSun-Identity-H"/>
                <w:kern w:val="0"/>
                <w:sz w:val="18"/>
                <w:szCs w:val="18"/>
                <w:lang w:eastAsia="zh-CN"/>
              </w:rPr>
              <w:t>钻孔个数</w:t>
            </w:r>
            <w:r>
              <w:rPr>
                <w:rFonts w:hint="eastAsia" w:ascii="SimSun-Identity-H" w:eastAsia="SimSun-Identity-H" w:cs="SimSun-Identity-H"/>
                <w:kern w:val="0"/>
                <w:sz w:val="18"/>
                <w:szCs w:val="18"/>
              </w:rPr>
              <w:t>计算实际数量，按合同单价计算合价后计量</w:t>
            </w:r>
          </w:p>
        </w:tc>
      </w:tr>
    </w:tbl>
    <w:p>
      <w:pPr>
        <w:rPr>
          <w:rFonts w:hint="eastAsia" w:eastAsia="宋体"/>
          <w:lang w:val="en-US" w:eastAsia="zh-CN"/>
        </w:rPr>
      </w:pPr>
    </w:p>
    <w:p>
      <w:pPr>
        <w:rPr>
          <w:rFonts w:hint="eastAsia"/>
          <w:b/>
          <w:color w:val="auto"/>
          <w:sz w:val="32"/>
          <w:szCs w:val="32"/>
        </w:rPr>
      </w:pPr>
      <w:r>
        <w:rPr>
          <w:rFonts w:hint="eastAsia"/>
          <w:b/>
          <w:color w:val="auto"/>
          <w:sz w:val="32"/>
          <w:szCs w:val="32"/>
        </w:rPr>
        <w:br w:type="page"/>
      </w:r>
    </w:p>
    <w:p>
      <w:pPr>
        <w:widowControl/>
        <w:snapToGrid w:val="0"/>
        <w:spacing w:line="400" w:lineRule="exact"/>
        <w:jc w:val="center"/>
        <w:rPr>
          <w:rFonts w:hint="eastAsia" w:ascii="宋体"/>
          <w:color w:val="auto"/>
          <w:sz w:val="32"/>
          <w:szCs w:val="32"/>
        </w:rPr>
      </w:pPr>
      <w:r>
        <w:rPr>
          <w:rFonts w:hint="eastAsia"/>
          <w:b/>
          <w:color w:val="auto"/>
          <w:sz w:val="32"/>
          <w:szCs w:val="32"/>
        </w:rPr>
        <w:t xml:space="preserve">第三部分 </w:t>
      </w:r>
      <w:bookmarkEnd w:id="28"/>
      <w:bookmarkStart w:id="47" w:name="_Toc257923936"/>
      <w:r>
        <w:rPr>
          <w:rFonts w:hint="eastAsia"/>
          <w:b/>
          <w:color w:val="auto"/>
          <w:sz w:val="32"/>
          <w:szCs w:val="32"/>
        </w:rPr>
        <w:t>磋商须知</w:t>
      </w:r>
    </w:p>
    <w:p>
      <w:pPr>
        <w:adjustRightInd w:val="0"/>
        <w:snapToGrid w:val="0"/>
        <w:jc w:val="center"/>
        <w:outlineLvl w:val="0"/>
        <w:rPr>
          <w:rFonts w:hint="eastAsia"/>
          <w:b/>
          <w:color w:val="auto"/>
          <w:sz w:val="32"/>
          <w:szCs w:val="32"/>
        </w:rPr>
      </w:pPr>
      <w:bookmarkStart w:id="48" w:name="_Toc302983094"/>
      <w:bookmarkStart w:id="49" w:name="_Toc283973075"/>
      <w:bookmarkStart w:id="50" w:name="_Toc306901445"/>
      <w:r>
        <w:rPr>
          <w:rFonts w:hint="eastAsia"/>
          <w:b/>
          <w:color w:val="auto"/>
          <w:sz w:val="32"/>
          <w:szCs w:val="32"/>
        </w:rPr>
        <w:t xml:space="preserve"> 前附表</w:t>
      </w:r>
      <w:bookmarkEnd w:id="47"/>
      <w:bookmarkEnd w:id="48"/>
      <w:bookmarkEnd w:id="49"/>
      <w:bookmarkEnd w:id="50"/>
    </w:p>
    <w:tbl>
      <w:tblPr>
        <w:tblStyle w:val="24"/>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19"/>
        <w:gridCol w:w="69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
                <w:color w:val="auto"/>
                <w:sz w:val="21"/>
                <w:szCs w:val="21"/>
              </w:rPr>
            </w:pPr>
            <w:r>
              <w:rPr>
                <w:rFonts w:hint="eastAsia" w:ascii="宋体" w:hAnsi="宋体"/>
                <w:b/>
                <w:color w:val="auto"/>
                <w:sz w:val="21"/>
                <w:szCs w:val="21"/>
              </w:rPr>
              <w:t>序号</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firstLine="210" w:firstLineChars="100"/>
              <w:jc w:val="center"/>
              <w:textAlignment w:val="auto"/>
              <w:rPr>
                <w:rFonts w:hint="eastAsia" w:ascii="宋体" w:hAnsi="宋体"/>
                <w:b/>
                <w:color w:val="auto"/>
                <w:sz w:val="21"/>
                <w:szCs w:val="21"/>
              </w:rPr>
            </w:pPr>
            <w:r>
              <w:rPr>
                <w:rFonts w:hint="eastAsia" w:ascii="宋体" w:hAnsi="宋体"/>
                <w:b/>
                <w:color w:val="auto"/>
                <w:sz w:val="21"/>
                <w:szCs w:val="21"/>
              </w:rPr>
              <w:t>项   目</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
                <w:color w:val="auto"/>
                <w:sz w:val="21"/>
                <w:szCs w:val="21"/>
              </w:rPr>
            </w:pPr>
            <w:r>
              <w:rPr>
                <w:rFonts w:hint="eastAsia" w:ascii="宋体" w:hAnsi="宋体"/>
                <w:b/>
                <w:color w:val="auto"/>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color w:val="auto"/>
                <w:sz w:val="24"/>
              </w:rPr>
            </w:pPr>
            <w:r>
              <w:rPr>
                <w:rFonts w:hint="eastAsia" w:ascii="宋体" w:hAnsi="宋体"/>
                <w:color w:val="auto"/>
                <w:sz w:val="24"/>
              </w:rPr>
              <w:t>1</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rPr>
              <w:t>项目名称</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4" w:leftChars="-1" w:right="0" w:firstLine="2" w:firstLineChars="1"/>
              <w:textAlignment w:val="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仙居县城乡冷链物流设施项目—物流网点连接线工程（下各镇）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color w:val="auto"/>
                <w:sz w:val="24"/>
              </w:rPr>
            </w:pPr>
            <w:r>
              <w:rPr>
                <w:rFonts w:hint="eastAsia" w:ascii="宋体" w:hAnsi="宋体"/>
                <w:color w:val="auto"/>
                <w:sz w:val="24"/>
              </w:rPr>
              <w:t>2</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lang w:eastAsia="zh-CN"/>
              </w:rPr>
              <w:t>采购</w:t>
            </w:r>
            <w:r>
              <w:rPr>
                <w:rFonts w:hint="eastAsia" w:ascii="宋体" w:hAnsi="宋体"/>
                <w:bCs/>
                <w:color w:val="auto"/>
                <w:sz w:val="21"/>
                <w:szCs w:val="21"/>
              </w:rPr>
              <w:t>内容</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4" w:leftChars="-1" w:right="0" w:firstLine="2" w:firstLineChars="1"/>
              <w:textAlignment w:val="auto"/>
              <w:rPr>
                <w:rFonts w:hint="eastAsia" w:ascii="宋体" w:hAnsi="宋体"/>
                <w:bCs/>
                <w:color w:val="auto"/>
                <w:sz w:val="21"/>
                <w:szCs w:val="21"/>
              </w:rPr>
            </w:pPr>
            <w:r>
              <w:rPr>
                <w:rFonts w:hint="eastAsia" w:ascii="宋体" w:hAnsi="宋体"/>
                <w:bCs/>
                <w:color w:val="auto"/>
                <w:sz w:val="21"/>
                <w:szCs w:val="21"/>
              </w:rPr>
              <w:t>详见</w:t>
            </w:r>
            <w:r>
              <w:rPr>
                <w:rFonts w:hint="eastAsia" w:ascii="宋体" w:hAnsi="宋体" w:eastAsia="宋体"/>
                <w:bCs/>
                <w:color w:val="auto"/>
                <w:sz w:val="21"/>
                <w:szCs w:val="21"/>
                <w:lang w:val="en-US" w:eastAsia="zh-CN"/>
              </w:rPr>
              <w:t>本采购文件</w:t>
            </w:r>
            <w:r>
              <w:rPr>
                <w:rFonts w:hint="eastAsia" w:ascii="宋体" w:hAnsi="宋体"/>
                <w:bCs/>
                <w:color w:val="auto"/>
                <w:sz w:val="21"/>
                <w:szCs w:val="21"/>
              </w:rPr>
              <w:t>“第二部分采购需求”内容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color w:val="auto"/>
                <w:sz w:val="24"/>
              </w:rPr>
            </w:pPr>
            <w:r>
              <w:rPr>
                <w:rFonts w:hint="eastAsia" w:ascii="宋体" w:hAnsi="宋体"/>
                <w:color w:val="auto"/>
                <w:sz w:val="24"/>
              </w:rPr>
              <w:t>3</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lang w:eastAsia="zh-CN"/>
              </w:rPr>
              <w:t>采购</w:t>
            </w:r>
            <w:r>
              <w:rPr>
                <w:rFonts w:hint="eastAsia" w:ascii="宋体" w:hAnsi="宋体"/>
                <w:bCs/>
                <w:color w:val="auto"/>
                <w:sz w:val="21"/>
                <w:szCs w:val="21"/>
              </w:rPr>
              <w:t>方式</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ascii="宋体" w:hAnsi="宋体" w:eastAsia="宋体"/>
                <w:bCs/>
                <w:color w:val="auto"/>
                <w:sz w:val="21"/>
                <w:szCs w:val="21"/>
                <w:lang w:eastAsia="zh-CN"/>
              </w:rPr>
            </w:pPr>
            <w:r>
              <w:rPr>
                <w:rFonts w:hint="eastAsia" w:ascii="宋体" w:hAnsi="宋体"/>
                <w:bCs/>
                <w:color w:val="auto"/>
                <w:sz w:val="21"/>
                <w:szCs w:val="21"/>
                <w:lang w:eastAsia="zh-CN"/>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color w:val="auto"/>
                <w:sz w:val="24"/>
              </w:rPr>
            </w:pPr>
            <w:r>
              <w:rPr>
                <w:rFonts w:hint="eastAsia" w:ascii="宋体" w:hAnsi="宋体"/>
                <w:color w:val="auto"/>
                <w:sz w:val="24"/>
              </w:rPr>
              <w:t>4</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highlight w:val="none"/>
              </w:rPr>
            </w:pPr>
            <w:r>
              <w:rPr>
                <w:rFonts w:hint="eastAsia" w:ascii="宋体" w:hAnsi="宋体"/>
                <w:bCs/>
                <w:color w:val="auto"/>
                <w:sz w:val="21"/>
                <w:szCs w:val="21"/>
                <w:highlight w:val="none"/>
              </w:rPr>
              <w:t>服务期限</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4" w:leftChars="-1" w:right="0" w:firstLine="2" w:firstLineChars="1"/>
              <w:textAlignment w:val="auto"/>
              <w:rPr>
                <w:rFonts w:hint="eastAsia" w:ascii="宋体" w:hAnsi="宋体" w:eastAsia="宋体"/>
                <w:bCs/>
                <w:color w:val="auto"/>
                <w:sz w:val="21"/>
                <w:szCs w:val="21"/>
                <w:highlight w:val="none"/>
                <w:lang w:eastAsia="zh-CN"/>
              </w:rPr>
            </w:pPr>
            <w:r>
              <w:rPr>
                <w:rFonts w:hint="eastAsia" w:ascii="宋体" w:hAnsi="宋体" w:eastAsia="宋体" w:cs="宋体"/>
                <w:color w:val="0000FF"/>
                <w:kern w:val="0"/>
                <w:sz w:val="21"/>
                <w:szCs w:val="21"/>
                <w:highlight w:val="none"/>
                <w:lang w:val="en-US" w:eastAsia="zh-CN"/>
              </w:rPr>
              <w:t>8个月</w:t>
            </w:r>
            <w:r>
              <w:rPr>
                <w:rFonts w:hint="eastAsia" w:ascii="宋体" w:hAnsi="宋体" w:eastAsia="宋体" w:cs="宋体"/>
                <w:color w:val="0000FF"/>
                <w:sz w:val="21"/>
                <w:szCs w:val="21"/>
                <w:highlight w:val="none"/>
              </w:rPr>
              <w:t>（具体开工日期由</w:t>
            </w:r>
            <w:r>
              <w:rPr>
                <w:rFonts w:hint="eastAsia" w:ascii="宋体" w:hAnsi="宋体" w:eastAsia="宋体" w:cs="宋体"/>
                <w:color w:val="0000FF"/>
                <w:sz w:val="21"/>
                <w:szCs w:val="21"/>
                <w:highlight w:val="none"/>
                <w:lang w:eastAsia="zh-CN"/>
              </w:rPr>
              <w:t>发包人</w:t>
            </w:r>
            <w:r>
              <w:rPr>
                <w:rFonts w:hint="eastAsia" w:ascii="宋体" w:hAnsi="宋体" w:eastAsia="宋体" w:cs="宋体"/>
                <w:color w:val="0000FF"/>
                <w:sz w:val="21"/>
                <w:szCs w:val="21"/>
                <w:highlight w:val="none"/>
              </w:rPr>
              <w:t>确定</w:t>
            </w:r>
            <w:r>
              <w:rPr>
                <w:rFonts w:hint="eastAsia" w:ascii="宋体" w:hAnsi="宋体" w:eastAsia="宋体" w:cs="宋体"/>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5</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rPr>
              <w:t>评标办法</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left"/>
              <w:textAlignment w:val="auto"/>
              <w:rPr>
                <w:rFonts w:hint="eastAsia" w:ascii="宋体" w:hAnsi="宋体"/>
                <w:color w:val="auto"/>
                <w:sz w:val="21"/>
                <w:szCs w:val="21"/>
              </w:rPr>
            </w:pPr>
            <w:r>
              <w:rPr>
                <w:rFonts w:hint="eastAsia" w:ascii="宋体" w:hAnsi="宋体" w:cs="Arial"/>
                <w:bCs/>
                <w:color w:val="auto"/>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6</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rPr>
              <w:t>磋商响应文件有效期</w:t>
            </w:r>
          </w:p>
        </w:tc>
        <w:tc>
          <w:tcPr>
            <w:tcW w:w="6906" w:type="dxa"/>
            <w:noWrap w:val="0"/>
            <w:vAlign w:val="center"/>
          </w:tcPr>
          <w:p>
            <w:pPr>
              <w:pStyle w:val="20"/>
              <w:keepNext w:val="0"/>
              <w:keepLines w:val="0"/>
              <w:pageBreakBefore w:val="0"/>
              <w:suppressLineNumbers w:val="0"/>
              <w:kinsoku/>
              <w:wordWrap/>
              <w:overflowPunct/>
              <w:topLinePunct w:val="0"/>
              <w:bidi w:val="0"/>
              <w:snapToGrid w:val="0"/>
              <w:spacing w:line="300" w:lineRule="exact"/>
              <w:ind w:left="0" w:right="0"/>
              <w:textAlignment w:val="auto"/>
              <w:rPr>
                <w:bCs/>
                <w:color w:val="auto"/>
                <w:sz w:val="21"/>
                <w:szCs w:val="21"/>
              </w:rPr>
            </w:pPr>
            <w:r>
              <w:rPr>
                <w:rFonts w:hint="eastAsia"/>
                <w:bCs/>
                <w:color w:val="auto"/>
                <w:sz w:val="21"/>
                <w:szCs w:val="21"/>
              </w:rPr>
              <w:t>磋商响应有效期为90天，磋商响应有效期从提交磋商响应文件的截止之日起算。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7</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rPr>
              <w:t>履约保证金</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ascii="宋体" w:hAnsi="宋体" w:eastAsia="宋体"/>
                <w:color w:val="0000FF"/>
                <w:sz w:val="21"/>
                <w:szCs w:val="21"/>
                <w:highlight w:val="none"/>
                <w:lang w:eastAsia="zh-CN"/>
              </w:rPr>
            </w:pPr>
            <w:r>
              <w:rPr>
                <w:rFonts w:hint="eastAsia" w:ascii="宋体" w:hAnsi="宋体"/>
                <w:color w:val="0000FF"/>
                <w:sz w:val="21"/>
                <w:szCs w:val="21"/>
                <w:highlight w:val="none"/>
              </w:rPr>
              <w:t>本项目履约保证金为合同</w:t>
            </w:r>
            <w:r>
              <w:rPr>
                <w:rFonts w:hint="eastAsia" w:ascii="宋体" w:hAnsi="宋体" w:eastAsia="宋体"/>
                <w:color w:val="0000FF"/>
                <w:sz w:val="21"/>
                <w:szCs w:val="21"/>
                <w:highlight w:val="none"/>
                <w:lang w:val="en-US" w:eastAsia="zh-CN"/>
              </w:rPr>
              <w:t>价</w:t>
            </w:r>
            <w:r>
              <w:rPr>
                <w:rFonts w:hint="eastAsia" w:ascii="宋体" w:hAnsi="宋体"/>
                <w:color w:val="0000FF"/>
                <w:sz w:val="21"/>
                <w:szCs w:val="21"/>
                <w:highlight w:val="none"/>
              </w:rPr>
              <w:t>的</w:t>
            </w:r>
            <w:r>
              <w:rPr>
                <w:rFonts w:hint="eastAsia" w:ascii="宋体" w:hAnsi="宋体" w:eastAsia="宋体"/>
                <w:color w:val="0000FF"/>
                <w:sz w:val="21"/>
                <w:szCs w:val="21"/>
                <w:highlight w:val="none"/>
                <w:lang w:val="en-US" w:eastAsia="zh-CN"/>
              </w:rPr>
              <w:t>1</w:t>
            </w:r>
            <w:r>
              <w:rPr>
                <w:rFonts w:hint="eastAsia" w:ascii="宋体" w:hAnsi="宋体"/>
                <w:color w:val="0000FF"/>
                <w:sz w:val="21"/>
                <w:szCs w:val="21"/>
                <w:highlight w:val="none"/>
              </w:rPr>
              <w:t>%</w:t>
            </w:r>
            <w:r>
              <w:rPr>
                <w:rFonts w:hint="eastAsia" w:ascii="宋体" w:hAnsi="宋体"/>
                <w:color w:val="0000FF"/>
                <w:sz w:val="21"/>
                <w:szCs w:val="21"/>
                <w:highlight w:val="none"/>
                <w:lang w:eastAsia="zh-CN"/>
              </w:rPr>
              <w:t>。</w:t>
            </w:r>
          </w:p>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ascii="宋体" w:hAnsi="宋体"/>
                <w:color w:val="auto"/>
                <w:sz w:val="21"/>
                <w:szCs w:val="21"/>
              </w:rPr>
            </w:pPr>
            <w:r>
              <w:rPr>
                <w:rFonts w:hint="eastAsia" w:ascii="宋体" w:hAnsi="宋体"/>
                <w:color w:val="0000FF"/>
                <w:sz w:val="21"/>
                <w:szCs w:val="21"/>
                <w:highlight w:val="none"/>
              </w:rPr>
              <w:t>鼓励供应商开展政采贷、履约保函等政府采购金融服务，供应商以银行、保险公司、融资担保公司出具保函形式提交履约保证金的，采购单位不得拒收</w:t>
            </w:r>
            <w:r>
              <w:rPr>
                <w:rFonts w:hint="eastAsia" w:ascii="宋体" w:hAnsi="宋体" w:eastAsia="宋体" w:cs="宋体"/>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71"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color w:val="auto"/>
                <w:sz w:val="24"/>
                <w:lang w:val="en-US" w:eastAsia="zh-CN"/>
              </w:rPr>
            </w:pPr>
            <w:r>
              <w:rPr>
                <w:rFonts w:hint="eastAsia" w:ascii="宋体" w:hAnsi="宋体"/>
                <w:color w:val="auto"/>
                <w:sz w:val="24"/>
                <w:lang w:val="en-US" w:eastAsia="zh-CN"/>
              </w:rPr>
              <w:t>8</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eastAsia="宋体"/>
                <w:color w:val="auto"/>
                <w:kern w:val="2"/>
                <w:sz w:val="21"/>
                <w:szCs w:val="21"/>
                <w:lang w:val="en-US" w:eastAsia="zh-CN" w:bidi="ar-SA"/>
              </w:rPr>
            </w:pPr>
            <w:r>
              <w:rPr>
                <w:rFonts w:hint="eastAsia" w:ascii="宋体" w:hAnsi="宋体"/>
                <w:color w:val="auto"/>
                <w:sz w:val="21"/>
                <w:szCs w:val="21"/>
                <w:lang w:val="en-US" w:eastAsia="zh-CN"/>
              </w:rPr>
              <w:t>响应</w:t>
            </w:r>
            <w:r>
              <w:rPr>
                <w:rFonts w:hint="eastAsia" w:ascii="宋体" w:hAnsi="宋体"/>
                <w:color w:val="auto"/>
                <w:sz w:val="21"/>
                <w:szCs w:val="21"/>
              </w:rPr>
              <w:t>文件</w:t>
            </w:r>
            <w:r>
              <w:rPr>
                <w:rFonts w:hint="eastAsia" w:ascii="宋体" w:hAnsi="宋体"/>
                <w:color w:val="auto"/>
                <w:sz w:val="21"/>
                <w:szCs w:val="21"/>
                <w:lang w:eastAsia="zh-CN"/>
              </w:rPr>
              <w:t>要求</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ascii="宋体" w:hAnsi="宋体" w:cs="Times New Roman"/>
                <w:color w:val="auto"/>
                <w:sz w:val="21"/>
                <w:szCs w:val="21"/>
              </w:rPr>
            </w:pPr>
            <w:r>
              <w:rPr>
                <w:rFonts w:hint="eastAsia" w:ascii="宋体" w:hAnsi="宋体" w:cs="Times New Roman"/>
                <w:color w:val="auto"/>
                <w:sz w:val="21"/>
                <w:szCs w:val="21"/>
                <w:lang w:val="en-US" w:eastAsia="zh-CN"/>
              </w:rPr>
              <w:t xml:space="preserve">（1）“电子加密响应文件”：在线上传递交一份。 </w:t>
            </w:r>
          </w:p>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ascii="宋体" w:hAnsi="宋体" w:cs="Times New Roman"/>
                <w:color w:val="auto"/>
                <w:kern w:val="2"/>
                <w:sz w:val="21"/>
                <w:szCs w:val="21"/>
                <w:highlight w:val="none"/>
                <w:lang w:val="en-US" w:eastAsia="zh-CN" w:bidi="ar-SA"/>
              </w:rPr>
            </w:pPr>
            <w:r>
              <w:rPr>
                <w:rFonts w:hint="eastAsia" w:ascii="宋体" w:hAnsi="宋体" w:cs="Times New Roman"/>
                <w:color w:val="auto"/>
                <w:sz w:val="21"/>
                <w:szCs w:val="21"/>
                <w:lang w:val="en-US" w:eastAsia="zh-CN"/>
              </w:rPr>
              <w:t>（</w:t>
            </w:r>
            <w:r>
              <w:rPr>
                <w:rFonts w:hint="eastAsia" w:ascii="宋体" w:hAnsi="宋体" w:cs="Times New Roman"/>
                <w:color w:val="auto"/>
                <w:sz w:val="21"/>
                <w:szCs w:val="21"/>
                <w:highlight w:val="none"/>
                <w:lang w:val="en-US" w:eastAsia="zh-CN"/>
              </w:rPr>
              <w:t>2）</w:t>
            </w:r>
            <w:r>
              <w:rPr>
                <w:rFonts w:hint="eastAsia" w:ascii="宋体" w:hAnsi="宋体" w:cs="Times New Roman"/>
                <w:b/>
                <w:bCs/>
                <w:color w:val="auto"/>
                <w:sz w:val="21"/>
                <w:szCs w:val="21"/>
                <w:highlight w:val="none"/>
                <w:lang w:val="en-US" w:eastAsia="zh-CN"/>
              </w:rPr>
              <w:t>“备份响应文件”（如有）：</w:t>
            </w:r>
            <w:r>
              <w:rPr>
                <w:rFonts w:hint="eastAsia" w:ascii="宋体" w:hAnsi="宋体" w:eastAsia="Calibri" w:cs="Times New Roman"/>
                <w:color w:val="auto"/>
                <w:kern w:val="2"/>
                <w:sz w:val="21"/>
                <w:szCs w:val="21"/>
                <w:highlight w:val="none"/>
                <w:lang w:val="en-US" w:eastAsia="zh-CN" w:bidi="ar-SA"/>
              </w:rPr>
              <w:t>政采云平台上最后生成的具备电子签章的备份响应文件，文件名后缀为备份</w:t>
            </w:r>
            <w:r>
              <w:rPr>
                <w:rFonts w:hint="eastAsia" w:ascii="宋体" w:hAnsi="宋体" w:cs="Times New Roman"/>
                <w:color w:val="auto"/>
                <w:kern w:val="2"/>
                <w:sz w:val="21"/>
                <w:szCs w:val="21"/>
                <w:highlight w:val="none"/>
                <w:lang w:val="en-US" w:eastAsia="zh-CN" w:bidi="ar-SA"/>
              </w:rPr>
              <w:t>标书</w:t>
            </w:r>
            <w:r>
              <w:rPr>
                <w:rFonts w:hint="eastAsia" w:ascii="宋体" w:hAnsi="宋体" w:eastAsia="Calibri" w:cs="Times New Roman"/>
                <w:color w:val="auto"/>
                <w:kern w:val="2"/>
                <w:sz w:val="21"/>
                <w:szCs w:val="21"/>
                <w:highlight w:val="none"/>
                <w:lang w:val="en-US" w:eastAsia="zh-CN" w:bidi="ar-SA"/>
              </w:rPr>
              <w:t>四字的首字母）</w:t>
            </w:r>
            <w:r>
              <w:rPr>
                <w:rFonts w:hint="eastAsia" w:ascii="宋体" w:hAnsi="宋体" w:cs="Times New Roman"/>
                <w:color w:val="auto"/>
                <w:kern w:val="2"/>
                <w:sz w:val="21"/>
                <w:szCs w:val="21"/>
                <w:highlight w:val="none"/>
                <w:lang w:val="en-US" w:eastAsia="zh-CN" w:bidi="ar-SA"/>
              </w:rPr>
              <w:t>。</w:t>
            </w:r>
            <w:r>
              <w:rPr>
                <w:rFonts w:hint="eastAsia" w:eastAsia="宋体" w:cs="宋体"/>
                <w:color w:val="auto"/>
                <w:sz w:val="21"/>
                <w:szCs w:val="21"/>
                <w:highlight w:val="none"/>
                <w:u w:val="none"/>
                <w:lang w:eastAsia="zh-CN"/>
              </w:rPr>
              <w:t>供应商</w:t>
            </w:r>
            <w:r>
              <w:rPr>
                <w:rFonts w:hint="eastAsia" w:ascii="宋体" w:hAnsi="宋体" w:eastAsia="宋体" w:cs="宋体"/>
                <w:color w:val="auto"/>
                <w:sz w:val="21"/>
                <w:szCs w:val="21"/>
                <w:highlight w:val="none"/>
                <w:u w:val="none"/>
                <w:lang w:eastAsia="zh-CN"/>
              </w:rPr>
              <w:t>自行确定是否提交；若提交请</w:t>
            </w:r>
            <w:r>
              <w:rPr>
                <w:rFonts w:hint="eastAsia" w:eastAsia="宋体" w:cs="宋体"/>
                <w:b w:val="0"/>
                <w:bCs w:val="0"/>
                <w:color w:val="auto"/>
                <w:sz w:val="21"/>
                <w:szCs w:val="21"/>
                <w:highlight w:val="none"/>
                <w:u w:val="none"/>
                <w:lang w:eastAsia="zh-CN"/>
              </w:rPr>
              <w:t>在</w:t>
            </w:r>
            <w:r>
              <w:rPr>
                <w:rFonts w:hint="eastAsia" w:eastAsia="宋体" w:cs="宋体"/>
                <w:b w:val="0"/>
                <w:bCs w:val="0"/>
                <w:color w:val="auto"/>
                <w:sz w:val="21"/>
                <w:szCs w:val="21"/>
                <w:highlight w:val="none"/>
                <w:lang w:val="en-US" w:eastAsia="zh-CN"/>
              </w:rPr>
              <w:t>提交磋商响应文件</w:t>
            </w:r>
            <w:r>
              <w:rPr>
                <w:rFonts w:hint="eastAsia" w:ascii="宋体" w:hAnsi="宋体" w:eastAsia="宋体" w:cs="宋体"/>
                <w:b w:val="0"/>
                <w:bCs w:val="0"/>
                <w:color w:val="auto"/>
                <w:sz w:val="21"/>
                <w:szCs w:val="21"/>
                <w:highlight w:val="none"/>
                <w:lang w:val="en-US" w:eastAsia="zh-CN"/>
              </w:rPr>
              <w:t>截止时间</w:t>
            </w:r>
            <w:r>
              <w:rPr>
                <w:rFonts w:hint="eastAsia" w:eastAsia="宋体" w:cs="宋体"/>
                <w:b w:val="0"/>
                <w:bCs w:val="0"/>
                <w:color w:val="auto"/>
                <w:sz w:val="21"/>
                <w:szCs w:val="21"/>
                <w:highlight w:val="none"/>
                <w:lang w:val="en-US" w:eastAsia="zh-CN"/>
              </w:rPr>
              <w:t>前</w:t>
            </w:r>
            <w:r>
              <w:rPr>
                <w:rFonts w:hint="eastAsia" w:ascii="宋体" w:hAnsi="宋体" w:eastAsia="宋体" w:cs="宋体"/>
                <w:color w:val="auto"/>
                <w:sz w:val="21"/>
                <w:szCs w:val="21"/>
                <w:highlight w:val="none"/>
                <w:u w:val="none"/>
                <w:lang w:eastAsia="zh-CN"/>
              </w:rPr>
              <w:t>将备份响应文件打包压缩加密（未加密造成泄密的由投标人自行承担）后以电子邮件的形式发送至</w:t>
            </w:r>
            <w:r>
              <w:rPr>
                <w:rFonts w:hint="eastAsia" w:eastAsia="宋体" w:cs="宋体"/>
                <w:color w:val="auto"/>
                <w:sz w:val="21"/>
                <w:szCs w:val="21"/>
                <w:highlight w:val="none"/>
                <w:u w:val="none"/>
                <w:lang w:val="en-US" w:eastAsia="zh-CN"/>
              </w:rPr>
              <w:t>846270514@qq.com</w:t>
            </w:r>
            <w:r>
              <w:rPr>
                <w:rFonts w:hint="eastAsia" w:eastAsia="宋体" w:cs="宋体"/>
                <w:color w:val="auto"/>
                <w:sz w:val="21"/>
                <w:szCs w:val="21"/>
                <w:highlight w:val="none"/>
                <w:u w:val="none"/>
                <w:lang w:eastAsia="zh-CN"/>
              </w:rPr>
              <w:t>，逾期</w:t>
            </w:r>
            <w:r>
              <w:rPr>
                <w:rFonts w:hint="eastAsia" w:ascii="宋体" w:hAnsi="宋体" w:eastAsia="宋体" w:cs="宋体"/>
                <w:color w:val="auto"/>
                <w:sz w:val="21"/>
                <w:szCs w:val="21"/>
                <w:highlight w:val="none"/>
                <w:u w:val="none"/>
                <w:lang w:eastAsia="zh-CN"/>
              </w:rPr>
              <w:t>发送</w:t>
            </w:r>
            <w:r>
              <w:rPr>
                <w:rFonts w:hint="eastAsia" w:eastAsia="宋体" w:cs="宋体"/>
                <w:color w:val="auto"/>
                <w:sz w:val="21"/>
                <w:szCs w:val="21"/>
                <w:highlight w:val="none"/>
                <w:u w:val="none"/>
                <w:lang w:eastAsia="zh-CN"/>
              </w:rPr>
              <w:t>的</w:t>
            </w:r>
            <w:r>
              <w:rPr>
                <w:rFonts w:hint="eastAsia" w:ascii="Arial" w:hAnsi="Arial" w:cs="Arial"/>
                <w:kern w:val="0"/>
                <w:sz w:val="21"/>
                <w:szCs w:val="21"/>
                <w:u w:val="none"/>
              </w:rPr>
              <w:t>将被</w:t>
            </w:r>
            <w:r>
              <w:rPr>
                <w:rFonts w:hint="eastAsia" w:ascii="Arial" w:hAnsi="Arial" w:eastAsia="宋体" w:cs="Arial"/>
                <w:kern w:val="0"/>
                <w:sz w:val="21"/>
                <w:szCs w:val="21"/>
                <w:u w:val="none"/>
                <w:lang w:eastAsia="zh-CN"/>
              </w:rPr>
              <w:t>视为未提交。</w:t>
            </w:r>
          </w:p>
          <w:p>
            <w:pPr>
              <w:keepNext w:val="0"/>
              <w:keepLines w:val="0"/>
              <w:pageBreakBefore w:val="0"/>
              <w:suppressLineNumbers w:val="0"/>
              <w:kinsoku/>
              <w:wordWrap/>
              <w:overflowPunct/>
              <w:topLinePunct w:val="0"/>
              <w:bidi w:val="0"/>
              <w:spacing w:before="0" w:beforeAutospacing="0" w:after="0" w:afterAutospacing="0" w:line="300" w:lineRule="exact"/>
              <w:ind w:left="0" w:right="0" w:firstLine="420" w:firstLineChars="200"/>
              <w:textAlignment w:val="auto"/>
              <w:rPr>
                <w:rFonts w:hint="default"/>
                <w:i w:val="0"/>
                <w:iCs w:val="0"/>
                <w:color w:val="000000"/>
                <w:sz w:val="21"/>
                <w:szCs w:val="21"/>
                <w:u w:val="single"/>
                <w:lang w:val="en-US" w:eastAsia="zh-CN"/>
              </w:rPr>
            </w:pPr>
            <w:r>
              <w:rPr>
                <w:rFonts w:hint="eastAsia" w:ascii="宋体" w:hAnsi="宋体" w:eastAsia="Calibri" w:cs="Times New Roman"/>
                <w:color w:val="auto"/>
                <w:kern w:val="2"/>
                <w:sz w:val="21"/>
                <w:szCs w:val="21"/>
                <w:highlight w:val="none"/>
                <w:lang w:val="en-US" w:eastAsia="zh-CN" w:bidi="ar-SA"/>
              </w:rPr>
              <w:t>备份响应文件在“</w:t>
            </w:r>
            <w:r>
              <w:rPr>
                <w:rFonts w:hint="eastAsia" w:ascii="宋体" w:hAnsi="宋体" w:cs="Times New Roman"/>
                <w:color w:val="auto"/>
                <w:kern w:val="2"/>
                <w:sz w:val="21"/>
                <w:szCs w:val="21"/>
                <w:highlight w:val="none"/>
                <w:lang w:val="en-US" w:eastAsia="zh-CN" w:bidi="ar-SA"/>
              </w:rPr>
              <w:t>电子加密响应文件</w:t>
            </w:r>
            <w:r>
              <w:rPr>
                <w:rFonts w:hint="eastAsia" w:ascii="宋体" w:hAnsi="宋体" w:eastAsia="Calibri" w:cs="Times New Roman"/>
                <w:color w:val="auto"/>
                <w:kern w:val="2"/>
                <w:sz w:val="21"/>
                <w:szCs w:val="21"/>
                <w:highlight w:val="none"/>
                <w:lang w:val="en-US" w:eastAsia="zh-CN" w:bidi="ar-SA"/>
              </w:rPr>
              <w:t>”在线解密失败后启用，否则不予以启用；供应商确认“</w:t>
            </w:r>
            <w:r>
              <w:rPr>
                <w:rFonts w:hint="eastAsia" w:ascii="宋体" w:hAnsi="宋体" w:cs="Times New Roman"/>
                <w:color w:val="auto"/>
                <w:kern w:val="2"/>
                <w:sz w:val="21"/>
                <w:szCs w:val="21"/>
                <w:highlight w:val="none"/>
                <w:lang w:val="en-US" w:eastAsia="zh-CN" w:bidi="ar-SA"/>
              </w:rPr>
              <w:t>电子加密响应文件</w:t>
            </w:r>
            <w:r>
              <w:rPr>
                <w:rFonts w:hint="eastAsia" w:ascii="宋体" w:hAnsi="宋体" w:eastAsia="Calibri" w:cs="Times New Roman"/>
                <w:color w:val="auto"/>
                <w:kern w:val="2"/>
                <w:sz w:val="21"/>
                <w:szCs w:val="21"/>
                <w:highlight w:val="none"/>
                <w:lang w:val="en-US" w:eastAsia="zh-CN" w:bidi="ar-SA"/>
              </w:rPr>
              <w:t>”在线解密失败后，将打包压缩加密的备份响应文件的解密密码在解密规定的时间（</w:t>
            </w:r>
            <w:r>
              <w:rPr>
                <w:rFonts w:hint="eastAsia" w:ascii="宋体" w:hAnsi="宋体" w:cs="Times New Roman"/>
                <w:color w:val="0000FF"/>
                <w:kern w:val="2"/>
                <w:sz w:val="21"/>
                <w:szCs w:val="21"/>
                <w:highlight w:val="none"/>
                <w:lang w:val="en-US" w:eastAsia="zh-CN" w:bidi="ar-SA"/>
              </w:rPr>
              <w:t>发出解密通知后</w:t>
            </w:r>
            <w:r>
              <w:rPr>
                <w:rFonts w:hint="eastAsia" w:ascii="宋体" w:hAnsi="宋体" w:eastAsia="Calibri" w:cs="Times New Roman"/>
                <w:color w:val="0000FF"/>
                <w:kern w:val="2"/>
                <w:sz w:val="21"/>
                <w:szCs w:val="21"/>
                <w:highlight w:val="none"/>
                <w:lang w:val="en-US" w:eastAsia="zh-CN" w:bidi="ar-SA"/>
              </w:rPr>
              <w:t>60分钟内</w:t>
            </w:r>
            <w:r>
              <w:rPr>
                <w:rFonts w:hint="eastAsia" w:ascii="宋体" w:hAnsi="宋体" w:eastAsia="Calibri" w:cs="Times New Roman"/>
                <w:color w:val="auto"/>
                <w:kern w:val="2"/>
                <w:sz w:val="21"/>
                <w:szCs w:val="21"/>
                <w:highlight w:val="none"/>
                <w:lang w:val="en-US" w:eastAsia="zh-CN" w:bidi="ar-SA"/>
              </w:rPr>
              <w:t>）发送至上述邮箱内，未在规定时间内发送造成的投标无效或失败由</w:t>
            </w:r>
            <w:r>
              <w:rPr>
                <w:rFonts w:hint="eastAsia" w:ascii="宋体" w:hAnsi="宋体" w:cs="Times New Roman"/>
                <w:color w:val="auto"/>
                <w:kern w:val="2"/>
                <w:sz w:val="21"/>
                <w:szCs w:val="21"/>
                <w:highlight w:val="none"/>
                <w:lang w:val="en-US" w:eastAsia="zh-CN" w:bidi="ar-SA"/>
              </w:rPr>
              <w:t>供应商</w:t>
            </w:r>
            <w:r>
              <w:rPr>
                <w:rFonts w:hint="eastAsia" w:ascii="宋体" w:hAnsi="宋体" w:eastAsia="Calibri" w:cs="Times New Roman"/>
                <w:color w:val="auto"/>
                <w:kern w:val="2"/>
                <w:sz w:val="21"/>
                <w:szCs w:val="21"/>
                <w:highlight w:val="none"/>
                <w:lang w:val="en-US" w:eastAsia="zh-CN" w:bidi="ar-SA"/>
              </w:rPr>
              <w:t>人自行承担。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8"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color w:val="auto"/>
                <w:sz w:val="24"/>
                <w:lang w:val="en-US" w:eastAsia="zh-CN"/>
              </w:rPr>
            </w:pPr>
            <w:r>
              <w:rPr>
                <w:rFonts w:hint="eastAsia" w:ascii="宋体" w:hAnsi="宋体"/>
                <w:color w:val="auto"/>
                <w:sz w:val="24"/>
                <w:lang w:val="en-US" w:eastAsia="zh-CN"/>
              </w:rPr>
              <w:t>9</w:t>
            </w:r>
          </w:p>
        </w:tc>
        <w:tc>
          <w:tcPr>
            <w:tcW w:w="2019"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宋体" w:hAnsi="宋体"/>
                <w:color w:val="auto"/>
                <w:sz w:val="21"/>
                <w:szCs w:val="21"/>
                <w:lang w:val="en-US" w:eastAsia="zh-CN"/>
              </w:rPr>
            </w:pPr>
            <w:r>
              <w:rPr>
                <w:rFonts w:hint="eastAsia" w:ascii="宋体" w:hAnsi="宋体"/>
                <w:bCs/>
                <w:color w:val="auto"/>
                <w:sz w:val="21"/>
                <w:szCs w:val="21"/>
                <w:lang w:eastAsia="zh-CN"/>
              </w:rPr>
              <w:t>响应</w:t>
            </w:r>
            <w:r>
              <w:rPr>
                <w:rFonts w:hint="eastAsia" w:ascii="宋体" w:hAnsi="宋体"/>
                <w:bCs/>
                <w:color w:val="auto"/>
                <w:sz w:val="21"/>
                <w:szCs w:val="21"/>
              </w:rPr>
              <w:t>文件</w:t>
            </w:r>
            <w:r>
              <w:rPr>
                <w:rFonts w:hint="eastAsia" w:ascii="宋体" w:hAnsi="宋体"/>
                <w:bCs/>
                <w:color w:val="auto"/>
                <w:sz w:val="21"/>
                <w:szCs w:val="21"/>
                <w:lang w:eastAsia="zh-CN"/>
              </w:rPr>
              <w:t>磋商</w:t>
            </w:r>
            <w:r>
              <w:rPr>
                <w:rFonts w:hint="eastAsia" w:ascii="宋体" w:hAnsi="宋体"/>
                <w:bCs/>
                <w:color w:val="auto"/>
                <w:sz w:val="21"/>
                <w:szCs w:val="21"/>
              </w:rPr>
              <w:t>截止时间</w:t>
            </w:r>
          </w:p>
        </w:tc>
        <w:tc>
          <w:tcPr>
            <w:tcW w:w="6906"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textAlignment w:val="auto"/>
              <w:rPr>
                <w:rFonts w:hint="eastAsia"/>
                <w:color w:val="auto"/>
                <w:lang w:val="en-US" w:eastAsia="zh-CN"/>
              </w:rPr>
            </w:pPr>
            <w:r>
              <w:rPr>
                <w:rFonts w:hint="eastAsia" w:ascii="宋体" w:hAnsi="宋体" w:eastAsia="宋体" w:cs="宋体"/>
                <w:b w:val="0"/>
                <w:bCs w:val="0"/>
                <w:color w:val="auto"/>
                <w:sz w:val="21"/>
                <w:szCs w:val="21"/>
                <w:lang w:eastAsia="zh-CN"/>
              </w:rPr>
              <w:t>供应商应当在</w:t>
            </w:r>
            <w:r>
              <w:rPr>
                <w:rFonts w:hint="eastAsia" w:ascii="宋体" w:hAnsi="宋体" w:eastAsia="宋体" w:cs="宋体"/>
                <w:b/>
                <w:bCs/>
                <w:color w:val="auto"/>
                <w:sz w:val="21"/>
                <w:szCs w:val="21"/>
                <w:lang w:eastAsia="zh-CN"/>
              </w:rPr>
              <w:t>磋商截止时</w:t>
            </w:r>
            <w:r>
              <w:rPr>
                <w:rFonts w:hint="eastAsia" w:ascii="宋体" w:hAnsi="宋体" w:eastAsia="宋体" w:cs="宋体"/>
                <w:b/>
                <w:bCs/>
                <w:color w:val="auto"/>
                <w:sz w:val="21"/>
                <w:szCs w:val="21"/>
                <w:highlight w:val="none"/>
                <w:lang w:eastAsia="zh-CN"/>
              </w:rPr>
              <w:t>间</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0000FF"/>
                <w:sz w:val="21"/>
                <w:szCs w:val="21"/>
                <w:highlight w:val="none"/>
                <w:lang w:val="en-US" w:eastAsia="zh-CN"/>
              </w:rPr>
              <w:t>2024年04月18日09</w:t>
            </w:r>
            <w:r>
              <w:rPr>
                <w:rFonts w:hint="eastAsia" w:ascii="宋体" w:hAnsi="宋体" w:eastAsia="宋体" w:cs="宋体"/>
                <w:b/>
                <w:bCs/>
                <w:color w:val="0000FF"/>
                <w:sz w:val="21"/>
                <w:szCs w:val="21"/>
                <w:highlight w:val="none"/>
              </w:rPr>
              <w:t>：</w:t>
            </w:r>
            <w:r>
              <w:rPr>
                <w:rFonts w:hint="eastAsia" w:ascii="宋体" w:hAnsi="宋体" w:eastAsia="宋体" w:cs="宋体"/>
                <w:b/>
                <w:bCs/>
                <w:color w:val="0000FF"/>
                <w:sz w:val="21"/>
                <w:szCs w:val="21"/>
                <w:highlight w:val="none"/>
                <w:lang w:val="en-US" w:eastAsia="zh-CN"/>
              </w:rPr>
              <w:t>00</w:t>
            </w:r>
            <w:r>
              <w:rPr>
                <w:rFonts w:hint="eastAsia" w:ascii="宋体" w:hAnsi="宋体" w:eastAsia="宋体" w:cs="宋体"/>
                <w:b/>
                <w:bCs/>
                <w:color w:val="0000FF"/>
                <w:sz w:val="21"/>
                <w:szCs w:val="21"/>
                <w:highlight w:val="none"/>
              </w:rPr>
              <w:t>（北京时间）</w:t>
            </w:r>
            <w:r>
              <w:rPr>
                <w:rFonts w:hint="eastAsia" w:ascii="宋体" w:hAnsi="宋体" w:eastAsia="宋体" w:cs="宋体"/>
                <w:b/>
                <w:bCs/>
                <w:color w:val="auto"/>
                <w:sz w:val="21"/>
                <w:szCs w:val="21"/>
                <w:highlight w:val="none"/>
                <w:lang w:eastAsia="zh-CN"/>
              </w:rPr>
              <w:t>前</w:t>
            </w:r>
            <w:r>
              <w:rPr>
                <w:rFonts w:hint="eastAsia" w:ascii="宋体" w:hAnsi="宋体" w:eastAsia="宋体" w:cs="宋体"/>
                <w:color w:val="auto"/>
                <w:sz w:val="21"/>
                <w:szCs w:val="21"/>
                <w:highlight w:val="none"/>
                <w:lang w:eastAsia="zh-CN"/>
              </w:rPr>
              <w:t>完成</w:t>
            </w:r>
            <w:r>
              <w:rPr>
                <w:rFonts w:hint="eastAsia" w:ascii="宋体" w:hAnsi="宋体" w:cs="Times New Roman"/>
                <w:color w:val="auto"/>
                <w:sz w:val="21"/>
                <w:szCs w:val="21"/>
                <w:lang w:val="en-US" w:eastAsia="zh-CN"/>
              </w:rPr>
              <w:t>电子加密响应文件</w:t>
            </w:r>
            <w:r>
              <w:rPr>
                <w:rFonts w:hint="eastAsia" w:ascii="宋体" w:hAnsi="宋体" w:eastAsia="宋体" w:cs="宋体"/>
                <w:color w:val="auto"/>
                <w:sz w:val="21"/>
                <w:szCs w:val="21"/>
                <w:highlight w:val="none"/>
                <w:lang w:eastAsia="zh-CN"/>
              </w:rPr>
              <w:t>的传输提交，磋商截止时间前可以补充、修改或者撤</w:t>
            </w:r>
            <w:r>
              <w:rPr>
                <w:rFonts w:hint="eastAsia" w:ascii="宋体" w:hAnsi="宋体" w:eastAsia="宋体" w:cs="宋体"/>
                <w:color w:val="auto"/>
                <w:sz w:val="21"/>
                <w:szCs w:val="21"/>
                <w:lang w:eastAsia="zh-CN"/>
              </w:rPr>
              <w:t>回</w:t>
            </w:r>
            <w:r>
              <w:rPr>
                <w:rFonts w:hint="eastAsia" w:ascii="宋体" w:hAnsi="宋体" w:cs="Times New Roman"/>
                <w:color w:val="auto"/>
                <w:sz w:val="21"/>
                <w:szCs w:val="21"/>
                <w:lang w:val="en-US" w:eastAsia="zh-CN"/>
              </w:rPr>
              <w:t>电子加密响应文件</w:t>
            </w:r>
            <w:r>
              <w:rPr>
                <w:rFonts w:hint="eastAsia" w:ascii="宋体" w:hAnsi="宋体" w:eastAsia="宋体" w:cs="宋体"/>
                <w:color w:val="auto"/>
                <w:sz w:val="21"/>
                <w:szCs w:val="21"/>
                <w:lang w:eastAsia="zh-CN"/>
              </w:rPr>
              <w:t>。补充或者修改</w:t>
            </w:r>
            <w:r>
              <w:rPr>
                <w:rFonts w:hint="eastAsia" w:ascii="宋体" w:hAnsi="宋体" w:cs="Times New Roman"/>
                <w:color w:val="auto"/>
                <w:sz w:val="21"/>
                <w:szCs w:val="21"/>
                <w:lang w:val="en-US" w:eastAsia="zh-CN"/>
              </w:rPr>
              <w:t>电子加密响应文件</w:t>
            </w:r>
            <w:r>
              <w:rPr>
                <w:rFonts w:hint="eastAsia" w:ascii="宋体" w:hAnsi="宋体" w:eastAsia="宋体" w:cs="宋体"/>
                <w:color w:val="auto"/>
                <w:sz w:val="21"/>
                <w:szCs w:val="21"/>
                <w:lang w:eastAsia="zh-CN"/>
              </w:rPr>
              <w:t>的，应当先行撤回原文件，补充、修改后重新传输提交。磋商截止时间前未完成传输的，视为撤回</w:t>
            </w:r>
            <w:r>
              <w:rPr>
                <w:rFonts w:hint="eastAsia" w:ascii="宋体" w:hAnsi="宋体" w:cs="Times New Roman"/>
                <w:color w:val="auto"/>
                <w:sz w:val="21"/>
                <w:szCs w:val="21"/>
                <w:lang w:val="en-US" w:eastAsia="zh-CN"/>
              </w:rPr>
              <w:t>电子加密响应文件</w:t>
            </w:r>
            <w:r>
              <w:rPr>
                <w:rFonts w:hint="eastAsia" w:ascii="宋体" w:hAnsi="宋体" w:eastAsia="宋体" w:cs="宋体"/>
                <w:color w:val="auto"/>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0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bCs/>
                <w:color w:val="auto"/>
                <w:sz w:val="21"/>
                <w:szCs w:val="21"/>
              </w:rPr>
              <w:t>开标时间及地点</w:t>
            </w:r>
          </w:p>
        </w:tc>
        <w:tc>
          <w:tcPr>
            <w:tcW w:w="6906" w:type="dxa"/>
            <w:noWrap w:val="0"/>
            <w:vAlign w:val="center"/>
          </w:tcPr>
          <w:p>
            <w:pPr>
              <w:keepNext w:val="0"/>
              <w:keepLines w:val="0"/>
              <w:widowControl/>
              <w:suppressLineNumbers w:val="0"/>
              <w:spacing w:before="0" w:beforeAutospacing="0" w:after="0" w:afterAutospacing="0"/>
              <w:ind w:left="0" w:right="0"/>
              <w:jc w:val="left"/>
              <w:rPr>
                <w:rFonts w:hint="default"/>
                <w:color w:val="auto"/>
                <w:lang w:val="en-US"/>
              </w:rPr>
            </w:pPr>
            <w:r>
              <w:rPr>
                <w:rFonts w:hint="eastAsia" w:ascii="宋体" w:hAnsi="宋体" w:eastAsia="宋体" w:cs="宋体"/>
                <w:b/>
                <w:color w:val="auto"/>
                <w:kern w:val="0"/>
                <w:sz w:val="21"/>
                <w:szCs w:val="21"/>
                <w:lang w:val="en-US" w:eastAsia="zh-CN" w:bidi="ar"/>
              </w:rPr>
              <w:t>同磋商截止时间与地点。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color w:val="auto"/>
                <w:sz w:val="24"/>
                <w:lang w:val="en-US" w:eastAsia="zh-CN"/>
              </w:rPr>
            </w:pPr>
            <w:r>
              <w:rPr>
                <w:rFonts w:hint="eastAsia" w:ascii="宋体" w:hAnsi="宋体"/>
                <w:color w:val="auto"/>
                <w:sz w:val="24"/>
                <w:lang w:val="en-US" w:eastAsia="zh-CN"/>
              </w:rPr>
              <w:t>11</w:t>
            </w:r>
          </w:p>
        </w:tc>
        <w:tc>
          <w:tcPr>
            <w:tcW w:w="20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color w:val="000000"/>
                <w:sz w:val="21"/>
                <w:szCs w:val="21"/>
                <w:lang w:val="en-US" w:eastAsia="zh-CN"/>
              </w:rPr>
              <w:t>电子加密</w:t>
            </w:r>
            <w:r>
              <w:rPr>
                <w:rFonts w:hint="eastAsia" w:ascii="宋体" w:hAnsi="宋体"/>
                <w:sz w:val="21"/>
                <w:lang w:eastAsia="zh-CN"/>
              </w:rPr>
              <w:t>响应</w:t>
            </w:r>
            <w:r>
              <w:rPr>
                <w:rFonts w:hint="eastAsia" w:ascii="宋体" w:hAnsi="宋体"/>
                <w:sz w:val="21"/>
              </w:rPr>
              <w:t>文件</w:t>
            </w:r>
            <w:r>
              <w:rPr>
                <w:rFonts w:hint="eastAsia" w:ascii="宋体" w:hAnsi="宋体"/>
                <w:color w:val="000000"/>
                <w:sz w:val="21"/>
                <w:szCs w:val="21"/>
                <w:lang w:val="en-US" w:eastAsia="zh-CN"/>
              </w:rPr>
              <w:t>的解密和异常情况处理</w:t>
            </w:r>
          </w:p>
        </w:tc>
        <w:tc>
          <w:tcPr>
            <w:tcW w:w="6906"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（1）开标后，采购组织机构将向各投标供应商发出“电子加密响应文件”的解密通知，各投标供应商代表应当在接到解密通知后60分钟内自行完成“电子加密响应文件”的在线解密。 </w:t>
            </w: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通过“政府采购云平台”成功上传递交的“电子加密响应文件”在线解密失败后，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（3）若供应商在规定时间内响应文件无法解密，或解密失败且备份文件读取失败（含未提交），则投标无效。</w:t>
            </w:r>
          </w:p>
          <w:p>
            <w:pPr>
              <w:keepNext w:val="0"/>
              <w:keepLines w:val="0"/>
              <w:widowControl/>
              <w:suppressLineNumbers w:val="0"/>
              <w:spacing w:before="0" w:beforeAutospacing="0" w:after="0" w:afterAutospacing="0"/>
              <w:ind w:left="0" w:right="0"/>
              <w:jc w:val="left"/>
              <w:rPr>
                <w:rFonts w:hint="eastAsia" w:ascii="宋体" w:hAnsi="宋体" w:eastAsia="宋体" w:cs="宋体"/>
                <w:b/>
                <w:color w:val="auto"/>
                <w:kern w:val="0"/>
                <w:sz w:val="21"/>
                <w:szCs w:val="21"/>
                <w:lang w:val="en-US" w:eastAsia="zh-CN" w:bidi="ar"/>
              </w:rPr>
            </w:pPr>
            <w:r>
              <w:rPr>
                <w:rFonts w:hint="eastAsia" w:ascii="宋体" w:hAnsi="宋体" w:eastAsia="宋体" w:cs="宋体"/>
                <w:b/>
                <w:bCs/>
                <w:color w:val="000000"/>
                <w:kern w:val="0"/>
                <w:sz w:val="21"/>
                <w:szCs w:val="21"/>
                <w:lang w:val="en-US" w:eastAsia="zh-CN" w:bidi="ar"/>
              </w:rPr>
              <w:t>（4）投标截止时间前，投标供应商仅递交了“备份响应文件”而未将电子加密响应文件上传至“政府采购云平台”的，投标无效。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tcBorders>
              <w:bottom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color w:val="auto"/>
                <w:sz w:val="24"/>
                <w:lang w:val="en-US" w:eastAsia="zh-CN"/>
              </w:rPr>
            </w:pPr>
            <w:r>
              <w:rPr>
                <w:rFonts w:hint="eastAsia" w:ascii="宋体" w:hAnsi="宋体"/>
                <w:color w:val="auto"/>
                <w:sz w:val="24"/>
                <w:lang w:val="en-US" w:eastAsia="zh-CN"/>
              </w:rPr>
              <w:t>12</w:t>
            </w:r>
          </w:p>
        </w:tc>
        <w:tc>
          <w:tcPr>
            <w:tcW w:w="2019" w:type="dxa"/>
            <w:tcBorders>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jc w:val="center"/>
              <w:textAlignment w:val="auto"/>
              <w:rPr>
                <w:rFonts w:hint="eastAsia" w:ascii="宋体" w:hAnsi="宋体"/>
                <w:b/>
                <w:color w:val="auto"/>
                <w:kern w:val="2"/>
                <w:sz w:val="21"/>
                <w:szCs w:val="21"/>
                <w:lang w:val="zh-CN" w:eastAsia="zh-CN" w:bidi="ar-SA"/>
              </w:rPr>
            </w:pPr>
            <w:r>
              <w:rPr>
                <w:rFonts w:hint="eastAsia" w:ascii="宋体" w:hAnsi="宋体"/>
                <w:bCs/>
                <w:color w:val="auto"/>
                <w:sz w:val="21"/>
                <w:szCs w:val="21"/>
              </w:rPr>
              <w:t>答疑与澄清</w:t>
            </w:r>
          </w:p>
        </w:tc>
        <w:tc>
          <w:tcPr>
            <w:tcW w:w="6906" w:type="dxa"/>
            <w:tcBorders>
              <w:bottom w:val="single" w:color="auto" w:sz="4" w:space="0"/>
            </w:tcBorders>
            <w:noWrap w:val="0"/>
            <w:vAlign w:val="center"/>
          </w:tcPr>
          <w:p>
            <w:pPr>
              <w:keepNext w:val="0"/>
              <w:keepLines w:val="0"/>
              <w:suppressLineNumbers w:val="0"/>
              <w:spacing w:before="0" w:beforeAutospacing="0" w:after="0" w:afterAutospacing="0"/>
              <w:ind w:left="0" w:right="0"/>
              <w:rPr>
                <w:rFonts w:hint="eastAsia"/>
                <w:lang w:val="zh-CN" w:eastAsia="zh-CN"/>
              </w:rPr>
            </w:pPr>
            <w:r>
              <w:rPr>
                <w:rFonts w:hint="default"/>
                <w:color w:val="auto"/>
                <w:sz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宋体" w:eastAsia="宋体"/>
                <w:color w:val="auto"/>
                <w:sz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738" w:type="dxa"/>
            <w:tcBorders>
              <w:bottom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13</w:t>
            </w:r>
          </w:p>
        </w:tc>
        <w:tc>
          <w:tcPr>
            <w:tcW w:w="2019" w:type="dxa"/>
            <w:tcBorders>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jc w:val="center"/>
              <w:textAlignment w:val="auto"/>
              <w:rPr>
                <w:rFonts w:hint="eastAsia" w:ascii="宋体" w:hAnsi="宋体"/>
                <w:color w:val="auto"/>
                <w:kern w:val="2"/>
                <w:sz w:val="21"/>
                <w:szCs w:val="21"/>
                <w:lang w:val="zh-CN" w:eastAsia="zh-CN" w:bidi="ar-SA"/>
              </w:rPr>
            </w:pPr>
            <w:r>
              <w:rPr>
                <w:rFonts w:hint="eastAsia" w:ascii="宋体" w:hAnsi="宋体"/>
                <w:color w:val="auto"/>
                <w:sz w:val="21"/>
                <w:szCs w:val="21"/>
                <w:lang w:val="zh-CN"/>
              </w:rPr>
              <w:t>实质性条款</w:t>
            </w:r>
          </w:p>
        </w:tc>
        <w:tc>
          <w:tcPr>
            <w:tcW w:w="6906" w:type="dxa"/>
            <w:tcBorders>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1050" w:leftChars="0" w:right="0" w:hanging="1050" w:firstLineChars="0"/>
              <w:textAlignment w:val="auto"/>
              <w:rPr>
                <w:rFonts w:hint="eastAsia" w:ascii="宋体" w:hAnsi="宋体"/>
                <w:color w:val="auto"/>
                <w:kern w:val="0"/>
                <w:sz w:val="21"/>
                <w:szCs w:val="21"/>
                <w:lang w:val="zh-CN" w:eastAsia="zh-CN" w:bidi="ar-SA"/>
              </w:rPr>
            </w:pPr>
            <w:r>
              <w:rPr>
                <w:rFonts w:hint="eastAsia" w:ascii="宋体" w:hAnsi="宋体"/>
                <w:color w:val="auto"/>
                <w:kern w:val="0"/>
                <w:sz w:val="21"/>
                <w:szCs w:val="21"/>
                <w:lang w:val="zh-CN"/>
              </w:rPr>
              <w:t>带</w:t>
            </w:r>
            <w:r>
              <w:rPr>
                <w:rFonts w:hint="eastAsia" w:ascii="宋体" w:hAnsi="宋体"/>
                <w:bCs/>
                <w:color w:val="auto"/>
                <w:sz w:val="21"/>
                <w:szCs w:val="21"/>
              </w:rPr>
              <w:t>▲是实质性条款，</w:t>
            </w:r>
            <w:r>
              <w:rPr>
                <w:rFonts w:hint="eastAsia" w:ascii="宋体" w:hAnsi="宋体"/>
                <w:bCs/>
                <w:color w:val="auto"/>
                <w:sz w:val="21"/>
                <w:szCs w:val="21"/>
                <w:lang w:eastAsia="zh-CN"/>
              </w:rPr>
              <w:t>磋商响应</w:t>
            </w:r>
            <w:r>
              <w:rPr>
                <w:rFonts w:hint="eastAsia" w:ascii="宋体" w:hAnsi="宋体"/>
                <w:bCs/>
                <w:color w:val="auto"/>
                <w:sz w:val="21"/>
                <w:szCs w:val="21"/>
              </w:rPr>
              <w:t>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738" w:type="dxa"/>
            <w:tcBorders>
              <w:top w:val="single" w:color="auto" w:sz="4" w:space="0"/>
              <w:bottom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14</w:t>
            </w:r>
          </w:p>
        </w:tc>
        <w:tc>
          <w:tcPr>
            <w:tcW w:w="2019" w:type="dxa"/>
            <w:tcBorders>
              <w:top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jc w:val="center"/>
              <w:textAlignment w:val="auto"/>
              <w:rPr>
                <w:rFonts w:hint="eastAsia" w:ascii="宋体" w:hAnsi="宋体"/>
                <w:bCs/>
                <w:color w:val="auto"/>
                <w:kern w:val="2"/>
                <w:sz w:val="21"/>
                <w:szCs w:val="21"/>
                <w:highlight w:val="none"/>
                <w:lang w:val="zh-CN" w:eastAsia="zh-CN" w:bidi="ar-SA"/>
              </w:rPr>
            </w:pPr>
            <w:r>
              <w:rPr>
                <w:rFonts w:hint="eastAsia" w:ascii="宋体" w:hAnsi="宋体"/>
                <w:bCs/>
                <w:color w:val="auto"/>
                <w:sz w:val="21"/>
                <w:szCs w:val="21"/>
                <w:highlight w:val="none"/>
              </w:rPr>
              <w:t>▲项目最高限价</w:t>
            </w:r>
          </w:p>
        </w:tc>
        <w:tc>
          <w:tcPr>
            <w:tcW w:w="6906" w:type="dxa"/>
            <w:tcBorders>
              <w:top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textAlignment w:val="auto"/>
              <w:rPr>
                <w:rFonts w:hint="eastAsia" w:ascii="宋体" w:hAnsi="宋体" w:eastAsia="宋体"/>
                <w:bCs/>
                <w:color w:val="auto"/>
                <w:kern w:val="2"/>
                <w:sz w:val="21"/>
                <w:szCs w:val="21"/>
                <w:highlight w:val="none"/>
                <w:lang w:val="zh-CN" w:eastAsia="zh-CN" w:bidi="ar-SA"/>
              </w:rPr>
            </w:pPr>
            <w:r>
              <w:rPr>
                <w:rFonts w:hint="eastAsia" w:ascii="宋体" w:hAnsi="宋体" w:eastAsia="宋体"/>
                <w:bCs/>
                <w:color w:val="auto"/>
                <w:sz w:val="21"/>
                <w:szCs w:val="21"/>
                <w:highlight w:val="none"/>
              </w:rPr>
              <w:t>最高限价为</w:t>
            </w:r>
            <w:r>
              <w:rPr>
                <w:rFonts w:hint="eastAsia" w:ascii="宋体" w:hAnsi="宋体" w:eastAsia="宋体"/>
                <w:bCs/>
                <w:color w:val="auto"/>
                <w:sz w:val="21"/>
                <w:szCs w:val="21"/>
                <w:highlight w:val="none"/>
                <w:u w:val="single"/>
                <w:lang w:val="en-US" w:eastAsia="zh-CN"/>
              </w:rPr>
              <w:t xml:space="preserve"> 3295908 </w:t>
            </w:r>
            <w:r>
              <w:rPr>
                <w:rFonts w:hint="eastAsia" w:ascii="宋体" w:hAnsi="宋体" w:eastAsia="宋体"/>
                <w:b/>
                <w:color w:val="auto"/>
                <w:sz w:val="21"/>
                <w:szCs w:val="21"/>
                <w:highlight w:val="none"/>
                <w:lang w:val="zh-CN"/>
              </w:rPr>
              <w:t>元</w:t>
            </w:r>
            <w:r>
              <w:rPr>
                <w:rFonts w:hint="eastAsia" w:ascii="宋体" w:hAnsi="宋体" w:eastAsia="宋体"/>
                <w:bCs/>
                <w:color w:val="auto"/>
                <w:sz w:val="21"/>
                <w:szCs w:val="21"/>
                <w:highlight w:val="none"/>
              </w:rPr>
              <w:t>。如</w:t>
            </w:r>
            <w:r>
              <w:rPr>
                <w:rFonts w:hint="eastAsia" w:ascii="宋体" w:hAnsi="宋体" w:eastAsia="宋体"/>
                <w:bCs/>
                <w:color w:val="auto"/>
                <w:sz w:val="21"/>
                <w:szCs w:val="21"/>
                <w:highlight w:val="none"/>
                <w:lang w:eastAsia="zh-CN"/>
              </w:rPr>
              <w:t>供应商</w:t>
            </w:r>
            <w:r>
              <w:rPr>
                <w:rFonts w:hint="eastAsia" w:ascii="宋体" w:hAnsi="宋体" w:eastAsia="宋体"/>
                <w:bCs/>
                <w:color w:val="auto"/>
                <w:sz w:val="21"/>
                <w:szCs w:val="21"/>
                <w:highlight w:val="none"/>
              </w:rPr>
              <w:t>的</w:t>
            </w:r>
            <w:r>
              <w:rPr>
                <w:rFonts w:hint="eastAsia" w:ascii="宋体" w:hAnsi="宋体" w:eastAsia="宋体"/>
                <w:bCs/>
                <w:color w:val="auto"/>
                <w:sz w:val="21"/>
                <w:szCs w:val="21"/>
                <w:highlight w:val="none"/>
                <w:lang w:eastAsia="zh-CN"/>
              </w:rPr>
              <w:t>磋商</w:t>
            </w:r>
            <w:r>
              <w:rPr>
                <w:rFonts w:hint="eastAsia" w:ascii="宋体" w:hAnsi="宋体" w:eastAsia="宋体"/>
                <w:bCs/>
                <w:color w:val="auto"/>
                <w:sz w:val="21"/>
                <w:szCs w:val="21"/>
                <w:highlight w:val="none"/>
              </w:rPr>
              <w:t>报价超过最高限价，其</w:t>
            </w:r>
            <w:r>
              <w:rPr>
                <w:rFonts w:hint="eastAsia" w:ascii="宋体" w:hAnsi="宋体" w:eastAsia="宋体"/>
                <w:bCs/>
                <w:color w:val="auto"/>
                <w:sz w:val="21"/>
                <w:szCs w:val="21"/>
                <w:highlight w:val="none"/>
                <w:lang w:eastAsia="zh-CN"/>
              </w:rPr>
              <w:t>磋商响应</w:t>
            </w:r>
            <w:r>
              <w:rPr>
                <w:rFonts w:hint="eastAsia" w:ascii="宋体" w:hAnsi="宋体" w:eastAsia="宋体"/>
                <w:bCs/>
                <w:color w:val="auto"/>
                <w:sz w:val="21"/>
                <w:szCs w:val="21"/>
                <w:highlight w:val="none"/>
              </w:rPr>
              <w:t xml:space="preserve">文件作无效标处理。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738" w:type="dxa"/>
            <w:tcBorders>
              <w:top w:val="single" w:color="auto" w:sz="4" w:space="0"/>
              <w:bottom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15</w:t>
            </w:r>
          </w:p>
        </w:tc>
        <w:tc>
          <w:tcPr>
            <w:tcW w:w="2019" w:type="dxa"/>
            <w:tcBorders>
              <w:top w:val="single" w:color="auto" w:sz="4" w:space="0"/>
              <w:bottom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jc w:val="center"/>
              <w:textAlignment w:val="auto"/>
              <w:rPr>
                <w:rFonts w:hint="eastAsia" w:ascii="宋体" w:hAnsi="宋体"/>
                <w:bCs/>
                <w:color w:val="auto"/>
                <w:sz w:val="21"/>
                <w:szCs w:val="21"/>
              </w:rPr>
            </w:pPr>
            <w:r>
              <w:rPr>
                <w:rFonts w:hint="eastAsia" w:ascii="宋体" w:hAnsi="宋体" w:eastAsia="宋体" w:cs="宋体"/>
                <w:color w:val="auto"/>
                <w:kern w:val="0"/>
                <w:sz w:val="21"/>
                <w:szCs w:val="21"/>
                <w:lang w:eastAsia="zh-CN"/>
              </w:rPr>
              <w:t>政采贷相关说明</w:t>
            </w:r>
          </w:p>
        </w:tc>
        <w:tc>
          <w:tcPr>
            <w:tcW w:w="6906" w:type="dxa"/>
            <w:tcBorders>
              <w:top w:val="single" w:color="auto" w:sz="4" w:space="0"/>
              <w:bottom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eastAsia" w:ascii="宋体" w:hAnsi="宋体" w:eastAsia="宋体" w:cs="宋体"/>
                <w:b/>
                <w:bCs/>
                <w:sz w:val="21"/>
                <w:szCs w:val="21"/>
              </w:rPr>
            </w:pPr>
            <w:r>
              <w:rPr>
                <w:rFonts w:hint="eastAsia" w:ascii="宋体" w:hAnsi="宋体" w:eastAsia="宋体" w:cs="宋体"/>
                <w:b/>
                <w:bCs/>
                <w:sz w:val="21"/>
                <w:szCs w:val="21"/>
              </w:rPr>
              <w:t>为优化政府采购营商环境，缓解供应商资金难题，政采云平台已推广“政采贷”服务，中标供应商如有融资需求，可使用以下银行的政采贷服务：</w:t>
            </w:r>
          </w:p>
          <w:tbl>
            <w:tblPr>
              <w:tblStyle w:val="24"/>
              <w:tblpPr w:leftFromText="180" w:rightFromText="180" w:vertAnchor="text" w:horzAnchor="page" w:tblpX="45" w:tblpY="263"/>
              <w:tblOverlap w:val="never"/>
              <w:tblW w:w="6578" w:type="dxa"/>
              <w:tblInd w:w="0" w:type="dxa"/>
              <w:tblLayout w:type="fixed"/>
              <w:tblCellMar>
                <w:top w:w="0" w:type="dxa"/>
                <w:left w:w="0" w:type="dxa"/>
                <w:bottom w:w="0" w:type="dxa"/>
                <w:right w:w="0" w:type="dxa"/>
              </w:tblCellMar>
            </w:tblPr>
            <w:tblGrid>
              <w:gridCol w:w="2337"/>
              <w:gridCol w:w="1658"/>
              <w:gridCol w:w="2583"/>
            </w:tblGrid>
            <w:tr>
              <w:tblPrEx>
                <w:tblCellMar>
                  <w:top w:w="0" w:type="dxa"/>
                  <w:left w:w="0" w:type="dxa"/>
                  <w:bottom w:w="0" w:type="dxa"/>
                  <w:right w:w="0" w:type="dxa"/>
                </w:tblCellMar>
              </w:tblPrEx>
              <w:trPr>
                <w:trHeight w:val="538"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highlight w:val="none"/>
                    </w:rPr>
                    <w:t>银行名称</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highlight w:val="none"/>
                    </w:rPr>
                    <w:t>联系人</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highlight w:val="none"/>
                    </w:rPr>
                    <w:t>联系方式</w:t>
                  </w:r>
                </w:p>
              </w:tc>
            </w:tr>
            <w:tr>
              <w:tblPrEx>
                <w:tblCellMar>
                  <w:top w:w="0" w:type="dxa"/>
                  <w:left w:w="0" w:type="dxa"/>
                  <w:bottom w:w="0" w:type="dxa"/>
                  <w:right w:w="0" w:type="dxa"/>
                </w:tblCellMar>
              </w:tblPrEx>
              <w:trPr>
                <w:trHeight w:val="497"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中国工商银行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lang w:eastAsia="zh-CN"/>
                    </w:rPr>
                  </w:pPr>
                  <w:r>
                    <w:rPr>
                      <w:rFonts w:hint="eastAsia" w:ascii="宋体" w:hAnsi="宋体" w:eastAsia="宋体" w:cs="宋体"/>
                      <w:sz w:val="21"/>
                      <w:szCs w:val="21"/>
                    </w:rPr>
                    <w:t>王健永</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rPr>
                    <w:t>13967615120</w:t>
                  </w:r>
                </w:p>
              </w:tc>
            </w:tr>
            <w:tr>
              <w:tblPrEx>
                <w:tblCellMar>
                  <w:top w:w="0" w:type="dxa"/>
                  <w:left w:w="0" w:type="dxa"/>
                  <w:bottom w:w="0" w:type="dxa"/>
                  <w:right w:w="0" w:type="dxa"/>
                </w:tblCellMar>
              </w:tblPrEx>
              <w:trPr>
                <w:trHeight w:val="552"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浙江泰隆商业银行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陈超</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17858683697</w:t>
                  </w:r>
                </w:p>
              </w:tc>
            </w:tr>
            <w:tr>
              <w:tblPrEx>
                <w:tblCellMar>
                  <w:top w:w="0" w:type="dxa"/>
                  <w:left w:w="0" w:type="dxa"/>
                  <w:bottom w:w="0" w:type="dxa"/>
                  <w:right w:w="0" w:type="dxa"/>
                </w:tblCellMar>
              </w:tblPrEx>
              <w:trPr>
                <w:trHeight w:val="490"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浙江民泰商业银行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朱祖优</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13858602876</w:t>
                  </w:r>
                </w:p>
              </w:tc>
            </w:tr>
            <w:tr>
              <w:tblPrEx>
                <w:tblCellMar>
                  <w:top w:w="0" w:type="dxa"/>
                  <w:left w:w="0" w:type="dxa"/>
                  <w:bottom w:w="0" w:type="dxa"/>
                  <w:right w:w="0" w:type="dxa"/>
                </w:tblCellMar>
              </w:tblPrEx>
              <w:trPr>
                <w:trHeight w:val="481"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中国建设银行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徐旭霞</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15988932355</w:t>
                  </w:r>
                </w:p>
              </w:tc>
            </w:tr>
            <w:tr>
              <w:tblPrEx>
                <w:tblCellMar>
                  <w:top w:w="0" w:type="dxa"/>
                  <w:left w:w="0" w:type="dxa"/>
                  <w:bottom w:w="0" w:type="dxa"/>
                  <w:right w:w="0" w:type="dxa"/>
                </w:tblCellMar>
              </w:tblPrEx>
              <w:trPr>
                <w:trHeight w:val="459"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中国邮政储蓄银行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赵红芳</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18968556112</w:t>
                  </w:r>
                </w:p>
              </w:tc>
            </w:tr>
            <w:tr>
              <w:tblPrEx>
                <w:tblCellMar>
                  <w:top w:w="0" w:type="dxa"/>
                  <w:left w:w="0" w:type="dxa"/>
                  <w:bottom w:w="0" w:type="dxa"/>
                  <w:right w:w="0" w:type="dxa"/>
                </w:tblCellMar>
              </w:tblPrEx>
              <w:trPr>
                <w:trHeight w:val="500"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农村商业银行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叶斌昇</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13806593583</w:t>
                  </w:r>
                </w:p>
              </w:tc>
            </w:tr>
            <w:tr>
              <w:tblPrEx>
                <w:tblCellMar>
                  <w:top w:w="0" w:type="dxa"/>
                  <w:left w:w="0" w:type="dxa"/>
                  <w:bottom w:w="0" w:type="dxa"/>
                  <w:right w:w="0" w:type="dxa"/>
                </w:tblCellMar>
              </w:tblPrEx>
              <w:trPr>
                <w:trHeight w:val="526"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中国农业银行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娄志伟</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13958514828</w:t>
                  </w:r>
                </w:p>
              </w:tc>
            </w:tr>
            <w:tr>
              <w:tblPrEx>
                <w:tblCellMar>
                  <w:top w:w="0" w:type="dxa"/>
                  <w:left w:w="0" w:type="dxa"/>
                  <w:bottom w:w="0" w:type="dxa"/>
                  <w:right w:w="0" w:type="dxa"/>
                </w:tblCellMar>
              </w:tblPrEx>
              <w:trPr>
                <w:trHeight w:val="526" w:hRule="atLeast"/>
              </w:trPr>
              <w:tc>
                <w:tcPr>
                  <w:tcW w:w="2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台州银行</w:t>
                  </w:r>
                </w:p>
              </w:tc>
              <w:tc>
                <w:tcPr>
                  <w:tcW w:w="1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朱翔</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13819660917</w:t>
                  </w:r>
                </w:p>
              </w:tc>
            </w:tr>
          </w:tbl>
          <w:tbl>
            <w:tblPr>
              <w:tblStyle w:val="24"/>
              <w:tblpPr w:leftFromText="180" w:rightFromText="180" w:vertAnchor="page" w:horzAnchor="page" w:tblpXSpec="center" w:tblpY="2379"/>
              <w:tblOverlap w:val="never"/>
              <w:tblW w:w="6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340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019" w:type="dxa"/>
                  <w:noWrap w:val="0"/>
                  <w:vAlign w:val="top"/>
                </w:tcPr>
                <w:p>
                  <w:pPr>
                    <w:keepNext w:val="0"/>
                    <w:keepLines w:val="0"/>
                    <w:suppressLineNumbers w:val="0"/>
                    <w:spacing w:before="0" w:beforeAutospacing="0" w:after="0" w:afterAutospacing="0"/>
                    <w:ind w:left="0" w:right="0"/>
                    <w:rPr>
                      <w:rFonts w:hint="eastAsia" w:eastAsia="宋体"/>
                      <w:b/>
                      <w:bCs/>
                      <w:sz w:val="18"/>
                      <w:szCs w:val="18"/>
                    </w:rPr>
                  </w:pPr>
                  <w:r>
                    <w:rPr>
                      <w:rFonts w:hint="eastAsia"/>
                      <w:b/>
                      <w:bCs/>
                      <w:sz w:val="18"/>
                      <w:szCs w:val="18"/>
                    </w:rPr>
                    <w:t>金融机构名称及意愿承担保函（保单）种类</w:t>
                  </w:r>
                </w:p>
              </w:tc>
              <w:tc>
                <w:tcPr>
                  <w:tcW w:w="3401" w:type="dxa"/>
                  <w:noWrap w:val="0"/>
                  <w:vAlign w:val="top"/>
                </w:tcPr>
                <w:p>
                  <w:pPr>
                    <w:keepNext w:val="0"/>
                    <w:keepLines w:val="0"/>
                    <w:suppressLineNumbers w:val="0"/>
                    <w:spacing w:before="0" w:beforeAutospacing="0" w:after="0" w:afterAutospacing="0"/>
                    <w:ind w:left="0" w:right="0"/>
                    <w:jc w:val="center"/>
                    <w:rPr>
                      <w:rFonts w:hint="eastAsia" w:eastAsia="宋体"/>
                      <w:b/>
                      <w:bCs/>
                      <w:sz w:val="18"/>
                      <w:szCs w:val="18"/>
                    </w:rPr>
                  </w:pPr>
                  <w:r>
                    <w:rPr>
                      <w:rFonts w:hint="eastAsia"/>
                      <w:b/>
                      <w:bCs/>
                      <w:sz w:val="18"/>
                      <w:szCs w:val="18"/>
                    </w:rPr>
                    <w:t>保函（保单）收费情况</w:t>
                  </w:r>
                </w:p>
              </w:tc>
              <w:tc>
                <w:tcPr>
                  <w:tcW w:w="1360" w:type="dxa"/>
                  <w:noWrap w:val="0"/>
                  <w:vAlign w:val="top"/>
                </w:tcPr>
                <w:p>
                  <w:pPr>
                    <w:keepNext w:val="0"/>
                    <w:keepLines w:val="0"/>
                    <w:suppressLineNumbers w:val="0"/>
                    <w:spacing w:before="0" w:beforeAutospacing="0" w:after="0" w:afterAutospacing="0"/>
                    <w:ind w:left="0" w:right="0"/>
                    <w:rPr>
                      <w:rFonts w:hint="eastAsia"/>
                      <w:b/>
                      <w:bCs/>
                      <w:sz w:val="18"/>
                      <w:szCs w:val="18"/>
                    </w:rPr>
                  </w:pPr>
                  <w:r>
                    <w:rPr>
                      <w:rFonts w:hint="eastAsia"/>
                      <w:b/>
                      <w:bCs/>
                      <w:sz w:val="18"/>
                      <w:szCs w:val="18"/>
                    </w:rPr>
                    <w:t>联系人及</w:t>
                  </w:r>
                </w:p>
                <w:p>
                  <w:pPr>
                    <w:keepNext w:val="0"/>
                    <w:keepLines w:val="0"/>
                    <w:suppressLineNumbers w:val="0"/>
                    <w:spacing w:before="0" w:beforeAutospacing="0" w:after="0" w:afterAutospacing="0"/>
                    <w:ind w:left="0" w:right="0"/>
                    <w:rPr>
                      <w:rFonts w:hint="eastAsia" w:eastAsia="宋体"/>
                      <w:b/>
                      <w:bCs/>
                      <w:sz w:val="18"/>
                      <w:szCs w:val="18"/>
                    </w:rPr>
                  </w:pPr>
                  <w:r>
                    <w:rPr>
                      <w:rFonts w:hint="eastAsia"/>
                      <w:b/>
                      <w:bCs/>
                      <w:sz w:val="18"/>
                      <w:szCs w:val="1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201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机构名称：中国工商银行股份有限公司仙居支行</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履约保函： 是</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预付款保函： 是</w:t>
                  </w:r>
                </w:p>
                <w:p>
                  <w:pPr>
                    <w:keepNext w:val="0"/>
                    <w:keepLines w:val="0"/>
                    <w:suppressLineNumbers w:val="0"/>
                    <w:spacing w:before="0" w:beforeAutospacing="0" w:after="0" w:afterAutospacing="0"/>
                    <w:ind w:left="0" w:right="0"/>
                    <w:rPr>
                      <w:rFonts w:hint="eastAsia" w:ascii="宋体" w:hAnsi="宋体" w:eastAsia="宋体" w:cs="宋体"/>
                      <w:sz w:val="18"/>
                      <w:szCs w:val="18"/>
                    </w:rPr>
                  </w:pPr>
                </w:p>
              </w:tc>
              <w:tc>
                <w:tcPr>
                  <w:tcW w:w="3401"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对外保函服务</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1.开立及展期费担保费率：</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（1)融资性保函：期限在一年（含）以内，客户按担保额度0.05-0.25%/月计收。最小计费周期为实际月（按实际发生天数，从保函生效之日至失效日计算，30天为1月），期限不足1月的按1个月计收。最低500元／季。</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（2)非融资性保函：期限在一年（含）以内，客户按0.027-0.167%/月计收。最小计费周期为实际月（按实际发生天数，从保函生效之日至失效日计算，30天为1月），期限不足1月的按1个月计收。最低500元／季。</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3)担保期限超过一年的，每增加一年整体费率提高10%（单利）。若担保文本未明确确定的到期日或含有自动延展性质条款的，我行可按根据基础合同和担保文本的有关约定推算出的担保最长有效期调整对应的费率。</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如企业划型为小微企业的，以上手续费全免。</w:t>
                  </w:r>
                </w:p>
              </w:tc>
              <w:tc>
                <w:tcPr>
                  <w:tcW w:w="1360" w:type="dxa"/>
                  <w:noWrap w:val="0"/>
                  <w:vAlign w:val="center"/>
                </w:tcPr>
                <w:p>
                  <w:pPr>
                    <w:keepNext w:val="0"/>
                    <w:keepLines w:val="0"/>
                    <w:suppressLineNumbers w:val="0"/>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21"/>
                      <w:szCs w:val="21"/>
                    </w:rPr>
                    <w:t>王健永</w:t>
                  </w:r>
                  <w:r>
                    <w:rPr>
                      <w:rFonts w:hint="eastAsia" w:ascii="宋体" w:hAnsi="宋体" w:eastAsia="宋体" w:cs="宋体"/>
                      <w:sz w:val="18"/>
                      <w:szCs w:val="18"/>
                    </w:rPr>
                    <w:t>13967615120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019"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机构名称：浙江泰隆商业银行台州仙居支行</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履约保函：是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预付款保函：是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备注：我行目前只有线下模式</w:t>
                  </w:r>
                </w:p>
              </w:tc>
              <w:tc>
                <w:tcPr>
                  <w:tcW w:w="3401"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根据保证金比例不同，参照下述费率计收：</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全额保证金，500一年；</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保证金比例50%以下，保函敞口金额的1.25‰/季，最低500元/季；</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保证金比例50%（含）以上，保函敞口金额的1‰/季，最低500元/季。</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涉及保函增额，增额部分参照开立保函收费标准另行收费，延期修改按照300/次的标准另行收费；</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按年收费项目不足一年按一年计收，超过一年三十天按照两年计收（从保函开立之日起390天（含）为一个年度三十天）</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按季收费项目不足一季按一季度计收，超过一季度十天的按两季度计收（从保函开立之日起100天（含）为一个季度十天）</w:t>
                  </w:r>
                </w:p>
              </w:tc>
              <w:tc>
                <w:tcPr>
                  <w:tcW w:w="1360"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default" w:ascii="宋体" w:hAnsi="宋体" w:eastAsia="宋体" w:cs="宋体"/>
                      <w:sz w:val="18"/>
                      <w:szCs w:val="18"/>
                    </w:rPr>
                  </w:pPr>
                  <w:r>
                    <w:rPr>
                      <w:rFonts w:hint="eastAsia" w:ascii="宋体" w:hAnsi="宋体" w:eastAsia="宋体" w:cs="宋体"/>
                      <w:sz w:val="18"/>
                      <w:szCs w:val="18"/>
                    </w:rPr>
                    <w:t>银行联系人：陈超17858683697</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具体保函业务办理客户经理：王英15868677616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1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机构名称：仙居农商银行</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履约保函：是</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预付款保函：是</w:t>
                  </w:r>
                </w:p>
              </w:tc>
              <w:tc>
                <w:tcPr>
                  <w:tcW w:w="3401"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合同（质量）履约按履约保证金年费率万分之五，在出具保函前一次性收取。</w:t>
                  </w:r>
                </w:p>
              </w:tc>
              <w:tc>
                <w:tcPr>
                  <w:tcW w:w="136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李杭13586233529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1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机构名称：仙居中国银行</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履约保函：是</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预付款保函：是</w:t>
                  </w:r>
                </w:p>
              </w:tc>
              <w:tc>
                <w:tcPr>
                  <w:tcW w:w="3401"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合同（质量）履约按履约保证金年费率1%（1.5%），每单保函最低保险费为500元。</w:t>
                  </w:r>
                </w:p>
              </w:tc>
              <w:tc>
                <w:tcPr>
                  <w:tcW w:w="136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张弥0576-87796908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019"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机构名称：中国人民财产保险股份有限公司仙居支公司</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履约保险：是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预付款保函：是</w:t>
                  </w:r>
                </w:p>
              </w:tc>
              <w:tc>
                <w:tcPr>
                  <w:tcW w:w="3401"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建设工程合同款支付保证保险，年费率1.2%，每单最低保险费为1000元。</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建设工程预付款保证保险，年费率0.6%，每单最低保险费为1000元。</w:t>
                  </w:r>
                </w:p>
              </w:tc>
              <w:tc>
                <w:tcPr>
                  <w:tcW w:w="1360" w:type="dxa"/>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王巧红13968483573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01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机构名称：中国大地财产保险股份有限公司仙居支公司</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履约保函：是</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预付款保函：否</w:t>
                  </w:r>
                </w:p>
              </w:tc>
              <w:tc>
                <w:tcPr>
                  <w:tcW w:w="3401"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合同（质量）履约按履约保证金年费率最低0.5%，每单保函最低保险费为1000元。</w:t>
                  </w:r>
                </w:p>
              </w:tc>
              <w:tc>
                <w:tcPr>
                  <w:tcW w:w="136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吴琼17858699170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1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机构名称：天安财产保险股份有限公司台州中心支公司仙居县营销服务部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履约保函：否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预付款保函：是</w:t>
                  </w:r>
                </w:p>
              </w:tc>
              <w:tc>
                <w:tcPr>
                  <w:tcW w:w="3401"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预付款保函：按预付款金额投保，年费率为1%-2%，每单保函最低保险费为500元；保险期限最长不超过5年。</w:t>
                  </w:r>
                </w:p>
              </w:tc>
              <w:tc>
                <w:tcPr>
                  <w:tcW w:w="1360" w:type="dxa"/>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陶正鹏13858613668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019"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机构名称：仙居县台融融资担保有限公司</w:t>
                  </w:r>
                </w:p>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履约保函：是</w:t>
                  </w:r>
                </w:p>
              </w:tc>
              <w:tc>
                <w:tcPr>
                  <w:tcW w:w="3401"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合同（质量）履约按履约保证金年费率0.2%，每单保函最低保险费为800元。</w:t>
                  </w:r>
                </w:p>
              </w:tc>
              <w:tc>
                <w:tcPr>
                  <w:tcW w:w="1360" w:type="dxa"/>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18"/>
                      <w:szCs w:val="18"/>
                    </w:rPr>
                  </w:pPr>
                  <w:r>
                    <w:rPr>
                      <w:rFonts w:hint="eastAsia" w:ascii="宋体" w:hAnsi="宋体" w:eastAsia="宋体" w:cs="宋体"/>
                      <w:sz w:val="18"/>
                      <w:szCs w:val="18"/>
                    </w:rPr>
                    <w:t>郭鹏飞13819645716</w:t>
                  </w:r>
                </w:p>
              </w:tc>
            </w:tr>
          </w:tbl>
          <w:p>
            <w:pPr>
              <w:keepNext w:val="0"/>
              <w:keepLines w:val="0"/>
              <w:suppressLineNumbers w:val="0"/>
              <w:autoSpaceDE w:val="0"/>
              <w:autoSpaceDN w:val="0"/>
              <w:adjustRightInd w:val="0"/>
              <w:spacing w:before="0" w:beforeAutospacing="0" w:after="0" w:afterAutospacing="0" w:line="300" w:lineRule="exact"/>
              <w:ind w:left="0" w:right="0"/>
              <w:rPr>
                <w:rFonts w:hint="eastAsia" w:ascii="宋体" w:hAnsi="宋体" w:eastAsia="宋体" w:cs="Times New Roman"/>
                <w:bCs/>
                <w:color w:val="000000"/>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738" w:type="dxa"/>
            <w:tcBorders>
              <w:top w:val="single" w:color="auto" w:sz="4"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宋体" w:hAnsi="宋体" w:eastAsia="宋体"/>
                <w:color w:val="auto"/>
                <w:kern w:val="2"/>
                <w:sz w:val="24"/>
                <w:szCs w:val="24"/>
                <w:lang w:val="en-US" w:eastAsia="zh-CN" w:bidi="ar-SA"/>
              </w:rPr>
            </w:pPr>
            <w:r>
              <w:rPr>
                <w:rFonts w:hint="eastAsia" w:ascii="宋体" w:hAnsi="宋体" w:eastAsia="宋体"/>
                <w:color w:val="auto"/>
                <w:sz w:val="24"/>
                <w:lang w:val="en-US" w:eastAsia="zh-CN"/>
              </w:rPr>
              <w:t>16</w:t>
            </w:r>
          </w:p>
        </w:tc>
        <w:tc>
          <w:tcPr>
            <w:tcW w:w="2019" w:type="dxa"/>
            <w:tcBorders>
              <w:top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jc w:val="center"/>
              <w:textAlignment w:val="auto"/>
              <w:rPr>
                <w:rFonts w:hint="eastAsia" w:ascii="宋体" w:hAnsi="宋体"/>
                <w:color w:val="auto"/>
                <w:kern w:val="2"/>
                <w:sz w:val="21"/>
                <w:szCs w:val="21"/>
                <w:lang w:val="en-US" w:eastAsia="zh-CN" w:bidi="ar-SA"/>
              </w:rPr>
            </w:pPr>
            <w:r>
              <w:rPr>
                <w:rFonts w:hint="eastAsia" w:ascii="宋体" w:hAnsi="宋体"/>
                <w:color w:val="auto"/>
                <w:sz w:val="21"/>
                <w:szCs w:val="21"/>
              </w:rPr>
              <w:t>解释权</w:t>
            </w:r>
          </w:p>
        </w:tc>
        <w:tc>
          <w:tcPr>
            <w:tcW w:w="6906" w:type="dxa"/>
            <w:tcBorders>
              <w:top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00" w:lineRule="exact"/>
              <w:ind w:left="0" w:right="0"/>
              <w:textAlignment w:val="auto"/>
              <w:rPr>
                <w:rFonts w:hint="eastAsia" w:ascii="宋体" w:hAnsi="宋体"/>
                <w:color w:val="auto"/>
                <w:kern w:val="2"/>
                <w:sz w:val="21"/>
                <w:szCs w:val="21"/>
                <w:lang w:val="en-US" w:eastAsia="zh-CN" w:bidi="ar-SA"/>
              </w:rPr>
            </w:pPr>
            <w:r>
              <w:rPr>
                <w:rFonts w:hint="eastAsia" w:ascii="宋体" w:hAnsi="宋体"/>
                <w:color w:val="auto"/>
                <w:sz w:val="21"/>
                <w:szCs w:val="21"/>
              </w:rPr>
              <w:t>本磋商文件解释权属于采购人和采购代理机构。</w:t>
            </w:r>
          </w:p>
        </w:tc>
      </w:tr>
    </w:tbl>
    <w:p>
      <w:pPr>
        <w:autoSpaceDE w:val="0"/>
        <w:autoSpaceDN w:val="0"/>
        <w:adjustRightInd w:val="0"/>
        <w:spacing w:line="360" w:lineRule="auto"/>
        <w:jc w:val="center"/>
        <w:outlineLvl w:val="1"/>
        <w:rPr>
          <w:rFonts w:ascii="宋体"/>
          <w:b/>
          <w:bCs/>
          <w:color w:val="auto"/>
          <w:sz w:val="24"/>
          <w:lang w:val="zh-CN"/>
        </w:rPr>
      </w:pPr>
      <w:r>
        <w:rPr>
          <w:rFonts w:ascii="宋体"/>
          <w:color w:val="auto"/>
          <w:sz w:val="24"/>
        </w:rPr>
        <w:br w:type="page"/>
      </w:r>
      <w:bookmarkStart w:id="51" w:name="_Toc302983095"/>
      <w:bookmarkStart w:id="52" w:name="_Toc306901446"/>
      <w:r>
        <w:rPr>
          <w:rFonts w:hint="eastAsia" w:ascii="宋体"/>
          <w:b/>
          <w:bCs/>
          <w:color w:val="auto"/>
          <w:sz w:val="24"/>
          <w:lang w:val="zh-CN"/>
        </w:rPr>
        <w:t>一、</w:t>
      </w:r>
      <w:bookmarkEnd w:id="51"/>
      <w:bookmarkEnd w:id="52"/>
      <w:r>
        <w:rPr>
          <w:rFonts w:hint="eastAsia" w:ascii="宋体"/>
          <w:b/>
          <w:bCs/>
          <w:color w:val="auto"/>
          <w:sz w:val="24"/>
          <w:lang w:val="zh-CN"/>
        </w:rPr>
        <w:t>总则</w:t>
      </w:r>
    </w:p>
    <w:p>
      <w:pPr>
        <w:keepNext w:val="0"/>
        <w:keepLines w:val="0"/>
        <w:pageBreakBefore w:val="0"/>
        <w:widowControl w:val="0"/>
        <w:kinsoku/>
        <w:wordWrap/>
        <w:overflowPunct/>
        <w:topLinePunct w:val="0"/>
        <w:autoSpaceDE/>
        <w:autoSpaceDN/>
        <w:bidi w:val="0"/>
        <w:adjustRightInd/>
        <w:snapToGrid w:val="0"/>
        <w:spacing w:line="240" w:lineRule="auto"/>
        <w:ind w:firstLine="413" w:firstLineChars="196"/>
        <w:jc w:val="left"/>
        <w:textAlignment w:val="auto"/>
        <w:outlineLvl w:val="1"/>
        <w:rPr>
          <w:rFonts w:hint="eastAsia" w:ascii="宋体" w:hAnsi="宋体" w:eastAsia="宋体" w:cs="宋体"/>
          <w:b/>
          <w:color w:val="auto"/>
          <w:sz w:val="21"/>
          <w:szCs w:val="21"/>
        </w:rPr>
      </w:pPr>
      <w:r>
        <w:rPr>
          <w:rFonts w:hint="eastAsia" w:ascii="宋体" w:hAnsi="宋体" w:eastAsia="宋体" w:cs="宋体"/>
          <w:b/>
          <w:color w:val="auto"/>
          <w:sz w:val="21"/>
          <w:szCs w:val="21"/>
          <w:lang w:val="zh-CN"/>
        </w:rPr>
        <w:t>（一）</w:t>
      </w:r>
      <w:r>
        <w:rPr>
          <w:rFonts w:hint="eastAsia" w:ascii="宋体" w:hAnsi="宋体" w:eastAsia="宋体" w:cs="宋体"/>
          <w:b/>
          <w:color w:val="auto"/>
          <w:sz w:val="21"/>
          <w:szCs w:val="21"/>
        </w:rPr>
        <w:t>适用范围</w:t>
      </w:r>
    </w:p>
    <w:p>
      <w:pPr>
        <w:autoSpaceDE w:val="0"/>
        <w:autoSpaceDN w:val="0"/>
        <w:adjustRightIn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本磋商文件适用于本次项目的磋商、评审、确定成交供应商、验收、合同履约、付款等行为（法律、法规另有规定的，从其规定）。</w:t>
      </w:r>
    </w:p>
    <w:p>
      <w:pPr>
        <w:autoSpaceDE w:val="0"/>
        <w:autoSpaceDN w:val="0"/>
        <w:adjustRightInd w:val="0"/>
        <w:spacing w:line="240" w:lineRule="auto"/>
        <w:ind w:firstLine="480"/>
        <w:rPr>
          <w:rFonts w:hint="eastAsia" w:ascii="宋体" w:hAnsi="宋体" w:eastAsia="宋体" w:cs="宋体"/>
          <w:b/>
          <w:bCs/>
          <w:color w:val="auto"/>
          <w:sz w:val="21"/>
          <w:szCs w:val="21"/>
        </w:rPr>
      </w:pPr>
      <w:bookmarkStart w:id="53" w:name="_Toc306901451"/>
      <w:bookmarkStart w:id="54" w:name="_Toc302983099"/>
      <w:r>
        <w:rPr>
          <w:rFonts w:hint="eastAsia" w:ascii="宋体" w:hAnsi="宋体" w:eastAsia="宋体" w:cs="宋体"/>
          <w:b/>
          <w:bCs/>
          <w:color w:val="auto"/>
          <w:sz w:val="21"/>
          <w:szCs w:val="21"/>
        </w:rPr>
        <w:t>（二）定义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000000"/>
          <w:sz w:val="21"/>
          <w:szCs w:val="21"/>
          <w:lang w:val="zh-CN"/>
        </w:rPr>
        <w:t>“采购组织机构”指采购人委托组织磋商的集中采购机构或采购代理机构。</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2、采购人：</w:t>
      </w:r>
      <w:r>
        <w:rPr>
          <w:rFonts w:hint="eastAsia" w:ascii="宋体" w:hAnsi="宋体" w:eastAsia="宋体" w:cs="宋体"/>
          <w:color w:val="000000"/>
          <w:sz w:val="21"/>
          <w:szCs w:val="21"/>
        </w:rPr>
        <w:t>是指委托</w:t>
      </w:r>
      <w:r>
        <w:rPr>
          <w:rFonts w:hint="eastAsia" w:ascii="宋体" w:hAnsi="宋体" w:eastAsia="宋体" w:cs="宋体"/>
          <w:color w:val="000000"/>
          <w:sz w:val="21"/>
          <w:szCs w:val="21"/>
          <w:lang w:val="zh-CN"/>
        </w:rPr>
        <w:t>集中采购机构或</w:t>
      </w:r>
      <w:r>
        <w:rPr>
          <w:rFonts w:hint="eastAsia" w:ascii="宋体" w:hAnsi="宋体" w:eastAsia="宋体" w:cs="宋体"/>
          <w:color w:val="000000"/>
          <w:sz w:val="21"/>
          <w:szCs w:val="21"/>
        </w:rPr>
        <w:t>采购代理机构采购本次项目的国家机关、事业单位和团体组织。</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3、供应商：</w:t>
      </w:r>
      <w:r>
        <w:rPr>
          <w:rFonts w:hint="eastAsia" w:ascii="宋体" w:hAnsi="宋体" w:eastAsia="宋体" w:cs="宋体"/>
          <w:color w:val="000000"/>
          <w:sz w:val="21"/>
          <w:szCs w:val="21"/>
        </w:rPr>
        <w:t>是指向</w:t>
      </w:r>
      <w:r>
        <w:rPr>
          <w:rFonts w:hint="eastAsia" w:ascii="宋体" w:hAnsi="宋体" w:eastAsia="宋体" w:cs="宋体"/>
          <w:color w:val="000000"/>
          <w:sz w:val="21"/>
          <w:szCs w:val="21"/>
          <w:lang w:val="zh-CN"/>
        </w:rPr>
        <w:t>采购组织机构</w:t>
      </w:r>
      <w:r>
        <w:rPr>
          <w:rFonts w:hint="eastAsia" w:ascii="宋体" w:hAnsi="宋体" w:eastAsia="宋体" w:cs="宋体"/>
          <w:color w:val="000000"/>
          <w:sz w:val="21"/>
          <w:szCs w:val="21"/>
        </w:rPr>
        <w:t>提交磋商响应文件的单位或个人。</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4、货物：是指各种形态和种类的物品，包括原材料、燃料、设备、产品等。</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5、服务：是指除货物和工程以外的政府采购对象，包括各类专业服务、信息网络开发服务、金融保险服务、运输服务，以及维修与维护服务等。</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6、“书面形式”包括信函、传真等。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7、“▲”系指实质性要求条款。</w:t>
      </w:r>
    </w:p>
    <w:p>
      <w:pPr>
        <w:autoSpaceDE w:val="0"/>
        <w:autoSpaceDN w:val="0"/>
        <w:adjustRightInd w:val="0"/>
        <w:spacing w:line="240" w:lineRule="auto"/>
        <w:ind w:firstLine="480"/>
        <w:rPr>
          <w:rFonts w:hint="eastAsia" w:ascii="宋体" w:hAnsi="宋体" w:eastAsia="宋体" w:cs="宋体"/>
          <w:b/>
          <w:bCs/>
          <w:color w:val="auto"/>
          <w:sz w:val="21"/>
          <w:szCs w:val="21"/>
        </w:rPr>
      </w:pPr>
      <w:r>
        <w:rPr>
          <w:rFonts w:hint="eastAsia" w:ascii="宋体" w:hAnsi="宋体" w:eastAsia="宋体" w:cs="宋体"/>
          <w:b/>
          <w:bCs/>
          <w:color w:val="auto"/>
          <w:sz w:val="21"/>
          <w:szCs w:val="21"/>
        </w:rPr>
        <w:t>（三）磋商费用</w:t>
      </w:r>
    </w:p>
    <w:p>
      <w:pPr>
        <w:autoSpaceDE w:val="0"/>
        <w:autoSpaceDN w:val="0"/>
        <w:adjustRightInd w:val="0"/>
        <w:spacing w:line="360" w:lineRule="auto"/>
        <w:ind w:firstLine="480"/>
        <w:rPr>
          <w:rFonts w:hint="eastAsia" w:ascii="宋体" w:hAnsi="宋体" w:eastAsia="宋体" w:cs="宋体"/>
          <w:b w:val="0"/>
          <w:bCs w:val="0"/>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不论磋商结果如何，供应商均应自行承担所有与磋商有关的全部费用（磋商文件有相关规定除</w:t>
      </w:r>
      <w:r>
        <w:rPr>
          <w:rFonts w:hint="eastAsia" w:ascii="宋体" w:hAnsi="宋体" w:eastAsia="宋体" w:cs="宋体"/>
          <w:b w:val="0"/>
          <w:bCs w:val="0"/>
          <w:color w:val="auto"/>
          <w:sz w:val="21"/>
          <w:szCs w:val="21"/>
        </w:rPr>
        <w:t>外）。</w:t>
      </w:r>
    </w:p>
    <w:p>
      <w:pPr>
        <w:autoSpaceDE w:val="0"/>
        <w:autoSpaceDN w:val="0"/>
        <w:adjustRightInd w:val="0"/>
        <w:spacing w:line="240" w:lineRule="auto"/>
        <w:ind w:firstLine="48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（四）联合体投标</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本项目不接受联合体投标</w:t>
      </w:r>
      <w:r>
        <w:rPr>
          <w:rFonts w:hint="eastAsia" w:ascii="宋体" w:hAnsi="宋体" w:eastAsia="宋体" w:cs="宋体"/>
          <w:color w:val="auto"/>
          <w:sz w:val="18"/>
          <w:szCs w:val="18"/>
          <w:lang w:val="zh-CN"/>
        </w:rPr>
        <w:t>。</w:t>
      </w:r>
    </w:p>
    <w:p>
      <w:pPr>
        <w:autoSpaceDE w:val="0"/>
        <w:autoSpaceDN w:val="0"/>
        <w:adjustRightInd w:val="0"/>
        <w:spacing w:line="360" w:lineRule="auto"/>
        <w:ind w:firstLine="480"/>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lang w:val="zh-CN" w:eastAsia="zh-CN"/>
        </w:rPr>
        <w:t>转包与分包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1、本项目不允许转包。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18"/>
          <w:szCs w:val="18"/>
          <w:lang w:val="zh-CN"/>
        </w:rPr>
        <w:t>2、本项目不可以分包</w:t>
      </w:r>
      <w:r>
        <w:rPr>
          <w:rFonts w:hint="eastAsia" w:ascii="宋体" w:hAnsi="宋体" w:eastAsia="宋体" w:cs="宋体"/>
          <w:color w:val="auto"/>
          <w:sz w:val="21"/>
          <w:szCs w:val="21"/>
          <w:lang w:val="zh-CN"/>
        </w:rPr>
        <w:t>。</w:t>
      </w:r>
    </w:p>
    <w:p>
      <w:pPr>
        <w:pageBreakBefore w:val="0"/>
        <w:widowControl w:val="0"/>
        <w:kinsoku/>
        <w:wordWrap/>
        <w:overflowPunct/>
        <w:topLinePunct w:val="0"/>
        <w:autoSpaceDE w:val="0"/>
        <w:autoSpaceDN w:val="0"/>
        <w:bidi w:val="0"/>
        <w:adjustRightInd w:val="0"/>
        <w:spacing w:line="240" w:lineRule="auto"/>
        <w:ind w:firstLine="48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rPr>
        <w:t>）特别说明</w:t>
      </w:r>
    </w:p>
    <w:bookmarkEnd w:id="53"/>
    <w:bookmarkEnd w:id="54"/>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1、供应商磋商所使用的资格、信誉、荣誉、业绩与企业认证必须为本法人所拥有。供应商磋商所使用的采购项目实施人员必须为本法人员工（指必须为本法人或控股公司正式员工）。</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2、供应商所标产品除磋商文件中明确规定要求“提供官网截图或相应检测报告的证明材料”以外，所有技术参数描述均以磋商响应文件为准。磋商供应商对所标产品技术参数的真实性承担法律责任。项目磋商结束后、质疑期限内，如有质疑供应商认为成交供应商所标产品、磋商响应文件技术参数与采购需求存在重大偏离、错误、甚至造假的情况，应提供具体有效的证明材料。</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3、供应商在磋商活动中提供任何虚假材料,其响应无效，并报监管部门查处；成交后发现的,成交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4、供应商不得相互串通磋商报价，不得妨碍其他供应商的公平竞争，不得损害采购人或其他供应商的合法权益，供应商不得以向采购人、磋商小组成员行贿或者采取其他不正当手段谋取成交。</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5、为采购项目提供整体设计、规范编制或者项目管理、监理、检测等服务的供应商，不得再参加该采购项目的其他采购活动。</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6、磋商响应文件格式中的表格式样可以根据项目差别做适当调整,但应当保持表格样式基本形态不变。</w:t>
      </w:r>
    </w:p>
    <w:p>
      <w:pPr>
        <w:autoSpaceDE w:val="0"/>
        <w:autoSpaceDN w:val="0"/>
        <w:adjustRightInd w:val="0"/>
        <w:spacing w:line="360" w:lineRule="auto"/>
        <w:ind w:firstLine="480"/>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7、单位负责人为同一人或者存在直接控股、管理关系的不同供应商，不得参加同一合同项下的政府采购活动。</w:t>
      </w:r>
    </w:p>
    <w:p>
      <w:pPr>
        <w:autoSpaceDE w:val="0"/>
        <w:autoSpaceDN w:val="0"/>
        <w:adjustRightInd w:val="0"/>
        <w:spacing w:line="360" w:lineRule="auto"/>
        <w:ind w:firstLine="480"/>
        <w:rPr>
          <w:rFonts w:hint="eastAsia" w:ascii="宋体" w:hAnsi="宋体" w:eastAsia="宋体" w:cs="宋体"/>
          <w:color w:val="000000"/>
          <w:sz w:val="21"/>
          <w:szCs w:val="21"/>
        </w:rPr>
      </w:pPr>
      <w:r>
        <w:rPr>
          <w:rFonts w:hint="eastAsia" w:ascii="宋体" w:hAnsi="宋体" w:eastAsia="宋体" w:cs="宋体"/>
          <w:b/>
          <w:bCs/>
          <w:color w:val="000000"/>
          <w:sz w:val="21"/>
          <w:szCs w:val="21"/>
        </w:rPr>
        <w:t>8、本项目不允许分包。</w:t>
      </w:r>
      <w:r>
        <w:rPr>
          <w:rFonts w:hint="eastAsia" w:ascii="宋体" w:hAnsi="宋体" w:eastAsia="宋体" w:cs="宋体"/>
          <w:color w:val="000000"/>
          <w:sz w:val="21"/>
          <w:szCs w:val="21"/>
        </w:rPr>
        <w:t>（若本项目允许部分分包，则分包如下：供应商根据磋商文件的规定和采购项目的实际情况，拟在成交后将成交项目的非主体、非关键性工作分包的，应当在磋商响应文件中载明分包承担主体，分包承担主体应当具备相应资质条件且不得再次分包。）</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color w:val="000000"/>
          <w:sz w:val="21"/>
          <w:szCs w:val="21"/>
          <w:lang w:val="en-US" w:eastAsia="zh-CN"/>
        </w:rPr>
        <w:t>9、政府采购政策及优惠：</w:t>
      </w: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rPr>
        <w:t>本次采购专门面向中小企业/小微企业或监狱企业或残疾人福利性单位</w:t>
      </w:r>
      <w:r>
        <w:rPr>
          <w:rFonts w:hint="eastAsia" w:ascii="宋体" w:hAnsi="宋体" w:eastAsia="宋体" w:cs="宋体"/>
          <w:b/>
          <w:bCs/>
          <w:color w:val="000000"/>
          <w:sz w:val="21"/>
          <w:szCs w:val="21"/>
          <w:lang w:eastAsia="zh-CN"/>
        </w:rPr>
        <w:t>的</w:t>
      </w:r>
      <w:r>
        <w:rPr>
          <w:rFonts w:hint="eastAsia" w:ascii="宋体" w:hAnsi="宋体" w:eastAsia="宋体" w:cs="宋体"/>
          <w:b/>
          <w:bCs/>
          <w:color w:val="000000"/>
          <w:sz w:val="21"/>
          <w:szCs w:val="21"/>
        </w:rPr>
        <w:t>采购项目。</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（3）以联合体形式参加政府采购活动，联合体各方均为小微企业的，联合体视同小微企业。（本项目不适用）</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（4）符合小微企业划分标准的个体工商户，视同小微企业。</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（5）本项目不接受大中型企业与小微企业组成联合体。</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（6）本项目不允许大中型企业向一家或者多家小微企业分包。</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（7）提供的服务全部由中小微企业承接（包括联合体内的小微企业和接受分包的小微企业）的，供应商应当出具《中小企业声明函》。</w:t>
      </w:r>
    </w:p>
    <w:p>
      <w:pPr>
        <w:autoSpaceDE w:val="0"/>
        <w:autoSpaceDN w:val="0"/>
        <w:adjustRightInd w:val="0"/>
        <w:spacing w:line="360" w:lineRule="auto"/>
        <w:ind w:firstLine="48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（8）残疾人福利性单位视同小微企业，参加政府采购活动时，应当提供《残疾人福利性单位声明函》。</w:t>
      </w:r>
    </w:p>
    <w:p>
      <w:pPr>
        <w:autoSpaceDE w:val="0"/>
        <w:autoSpaceDN w:val="0"/>
        <w:adjustRightInd w:val="0"/>
        <w:spacing w:line="360" w:lineRule="auto"/>
        <w:ind w:firstLine="48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（9）监狱企业视同小微企业，参加政府采购活动时，应当出具省级以上监狱管理局、戒毒管理局（含新疆生产建设兵团）提供的属于监狱企业的证明文件。</w:t>
      </w:r>
    </w:p>
    <w:p>
      <w:pPr>
        <w:autoSpaceDE w:val="0"/>
        <w:autoSpaceDN w:val="0"/>
        <w:adjustRightInd w:val="0"/>
        <w:spacing w:line="360" w:lineRule="auto"/>
        <w:ind w:firstLine="480"/>
        <w:rPr>
          <w:rFonts w:hint="eastAsia" w:ascii="宋体" w:hAnsi="宋体" w:eastAsia="宋体" w:cs="宋体"/>
          <w:b/>
          <w:bCs/>
          <w:color w:val="000000"/>
          <w:sz w:val="21"/>
          <w:szCs w:val="21"/>
          <w:lang w:val="zh-CN" w:eastAsia="zh-CN"/>
        </w:rPr>
      </w:pPr>
      <w:r>
        <w:rPr>
          <w:rFonts w:hint="eastAsia" w:ascii="宋体" w:hAnsi="宋体" w:eastAsia="宋体" w:cs="宋体"/>
          <w:b/>
          <w:bCs/>
          <w:color w:val="000000"/>
          <w:sz w:val="21"/>
          <w:szCs w:val="21"/>
          <w:lang w:val="en-US" w:eastAsia="zh-CN"/>
        </w:rPr>
        <w:t>10、</w:t>
      </w:r>
      <w:r>
        <w:rPr>
          <w:rFonts w:hint="eastAsia" w:ascii="宋体" w:hAnsi="宋体" w:eastAsia="宋体" w:cs="宋体"/>
          <w:b/>
          <w:bCs/>
          <w:color w:val="000000"/>
          <w:sz w:val="21"/>
          <w:szCs w:val="21"/>
          <w:lang w:val="zh-CN" w:eastAsia="zh-CN"/>
        </w:rPr>
        <w:t>信用信息</w:t>
      </w:r>
    </w:p>
    <w:p>
      <w:pPr>
        <w:autoSpaceDE w:val="0"/>
        <w:autoSpaceDN w:val="0"/>
        <w:adjustRightInd w:val="0"/>
        <w:spacing w:line="380" w:lineRule="exact"/>
        <w:ind w:firstLine="422" w:firstLineChars="200"/>
        <w:rPr>
          <w:rFonts w:hint="eastAsia" w:ascii="Times New Roman" w:hAnsi="宋体" w:eastAsia="宋体" w:cs="Times New Roman"/>
          <w:b/>
          <w:bCs/>
          <w:color w:val="auto"/>
          <w:sz w:val="21"/>
          <w:szCs w:val="21"/>
          <w:highlight w:val="none"/>
          <w:lang w:val="zh-CN"/>
        </w:rPr>
      </w:pPr>
      <w:r>
        <w:rPr>
          <w:rFonts w:hint="eastAsia" w:ascii="Times New Roman" w:hAnsi="宋体" w:eastAsia="宋体" w:cs="Times New Roman"/>
          <w:b/>
          <w:bCs/>
          <w:color w:val="auto"/>
          <w:sz w:val="21"/>
          <w:szCs w:val="21"/>
          <w:highlight w:val="none"/>
          <w:lang w:val="en-US" w:eastAsia="zh-CN"/>
        </w:rPr>
        <w:t>供应商</w:t>
      </w:r>
      <w:r>
        <w:rPr>
          <w:rFonts w:hint="eastAsia" w:ascii="Times New Roman" w:hAnsi="宋体" w:eastAsia="宋体" w:cs="Times New Roman"/>
          <w:b/>
          <w:bCs/>
          <w:color w:val="auto"/>
          <w:sz w:val="21"/>
          <w:szCs w:val="21"/>
          <w:highlight w:val="none"/>
          <w:lang w:val="zh-CN"/>
        </w:rPr>
        <w:t>信用信息查询渠道及截止时点、信用信息查询记录和证据留存的具体方式、信用信息的使用规则：</w:t>
      </w:r>
    </w:p>
    <w:p>
      <w:pPr>
        <w:autoSpaceDE w:val="0"/>
        <w:autoSpaceDN w:val="0"/>
        <w:adjustRightInd w:val="0"/>
        <w:spacing w:line="380" w:lineRule="exact"/>
        <w:ind w:firstLine="420" w:firstLineChars="200"/>
        <w:rPr>
          <w:rFonts w:hint="eastAsia" w:ascii="宋体" w:hAnsi="宋体" w:cs="宋体"/>
          <w:color w:val="auto"/>
          <w:sz w:val="21"/>
          <w:szCs w:val="21"/>
          <w:lang w:val="zh-CN"/>
        </w:rPr>
      </w:pPr>
      <w:r>
        <w:rPr>
          <w:rFonts w:hint="eastAsia" w:ascii="宋体" w:hAnsi="宋体" w:cs="宋体"/>
          <w:color w:val="auto"/>
          <w:sz w:val="21"/>
          <w:szCs w:val="21"/>
          <w:lang w:val="zh-CN"/>
        </w:rPr>
        <w:sym w:font="Wingdings" w:char="0081"/>
      </w:r>
      <w:r>
        <w:rPr>
          <w:rFonts w:hint="eastAsia" w:ascii="宋体" w:hAnsi="宋体" w:cs="宋体"/>
          <w:color w:val="auto"/>
          <w:sz w:val="21"/>
          <w:szCs w:val="21"/>
          <w:lang w:val="zh-CN"/>
        </w:rPr>
        <w:t>查询渠道：中国政府采购网（网址：http://www.ccgp.gov.cn）、信用中国（网址：</w:t>
      </w:r>
      <w:r>
        <w:rPr>
          <w:rFonts w:hint="eastAsia" w:ascii="宋体" w:hAnsi="宋体" w:cs="宋体"/>
          <w:color w:val="auto"/>
          <w:sz w:val="21"/>
          <w:szCs w:val="21"/>
          <w:lang w:val="zh-CN"/>
        </w:rPr>
        <w:fldChar w:fldCharType="begin"/>
      </w:r>
      <w:r>
        <w:rPr>
          <w:rFonts w:hint="eastAsia" w:ascii="宋体" w:hAnsi="宋体" w:cs="宋体"/>
          <w:color w:val="auto"/>
          <w:sz w:val="21"/>
          <w:szCs w:val="21"/>
          <w:lang w:val="zh-CN"/>
        </w:rPr>
        <w:instrText xml:space="preserve"> HYPERLINK "http://www.creditchina.gov.cn" </w:instrText>
      </w:r>
      <w:r>
        <w:rPr>
          <w:rFonts w:hint="eastAsia" w:ascii="宋体" w:hAnsi="宋体" w:cs="宋体"/>
          <w:color w:val="auto"/>
          <w:sz w:val="21"/>
          <w:szCs w:val="21"/>
          <w:lang w:val="zh-CN"/>
        </w:rPr>
        <w:fldChar w:fldCharType="separate"/>
      </w:r>
      <w:r>
        <w:rPr>
          <w:rFonts w:hint="eastAsia" w:ascii="宋体" w:hAnsi="宋体" w:cs="宋体"/>
          <w:color w:val="auto"/>
          <w:sz w:val="21"/>
          <w:szCs w:val="21"/>
          <w:lang w:val="zh-CN"/>
        </w:rPr>
        <w:t>http://www.creditchina.gov.cn</w:t>
      </w:r>
      <w:r>
        <w:rPr>
          <w:rFonts w:hint="eastAsia" w:ascii="宋体" w:hAnsi="宋体" w:cs="宋体"/>
          <w:color w:val="auto"/>
          <w:sz w:val="21"/>
          <w:szCs w:val="21"/>
          <w:lang w:val="zh-CN"/>
        </w:rPr>
        <w:fldChar w:fldCharType="end"/>
      </w:r>
      <w:r>
        <w:rPr>
          <w:rFonts w:hint="eastAsia" w:ascii="宋体" w:hAnsi="宋体" w:cs="宋体"/>
          <w:color w:val="auto"/>
          <w:sz w:val="21"/>
          <w:szCs w:val="21"/>
          <w:lang w:val="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sym w:font="Wingdings" w:char="F082"/>
      </w:r>
      <w:r>
        <w:rPr>
          <w:rFonts w:hint="eastAsia" w:ascii="宋体" w:hAnsi="宋体" w:cs="宋体"/>
          <w:color w:val="auto"/>
          <w:sz w:val="21"/>
          <w:szCs w:val="21"/>
          <w:lang w:val="zh-CN"/>
        </w:rPr>
        <w:t>截止时间：开标后评标前。</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sym w:font="Wingdings" w:char="F083"/>
      </w:r>
      <w:r>
        <w:rPr>
          <w:rFonts w:hint="eastAsia" w:ascii="宋体" w:hAnsi="宋体" w:cs="宋体"/>
          <w:color w:val="auto"/>
          <w:sz w:val="21"/>
          <w:szCs w:val="21"/>
          <w:lang w:val="zh-CN"/>
        </w:rPr>
        <w:t>信用信息查询记录和证据留存的具体方式：将在规定查询时间内打印信用信息查询记录及相关证据，并将与其他采购文件一并保存。</w:t>
      </w:r>
    </w:p>
    <w:p>
      <w:pPr>
        <w:autoSpaceDE w:val="0"/>
        <w:autoSpaceDN w:val="0"/>
        <w:adjustRightInd w:val="0"/>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lang w:val="zh-CN"/>
        </w:rPr>
        <w:sym w:font="Wingdings" w:char="0084"/>
      </w:r>
      <w:r>
        <w:rPr>
          <w:rFonts w:hint="eastAsia" w:ascii="宋体" w:hAnsi="宋体" w:cs="宋体"/>
          <w:color w:val="auto"/>
          <w:sz w:val="21"/>
          <w:szCs w:val="21"/>
          <w:lang w:val="zh-CN"/>
        </w:rPr>
        <w:t>使用规则：</w:t>
      </w:r>
      <w:r>
        <w:rPr>
          <w:rFonts w:hint="eastAsia" w:ascii="宋体" w:hAnsi="宋体" w:eastAsia="宋体" w:cs="宋体"/>
          <w:b/>
          <w:bCs/>
          <w:color w:val="000000"/>
          <w:sz w:val="21"/>
          <w:szCs w:val="21"/>
        </w:rPr>
        <w:t>对列入失信被执行人、重大税收违法案件当事人名单、政府采购严重违法失信行为记录名单及其他不符合《中华人民共和国政府采购法》第二十二条规定条件的供应商，将被拒绝其参与政府采购活动。</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zh-CN"/>
        </w:rPr>
        <w:t>质疑与投诉</w:t>
      </w:r>
    </w:p>
    <w:p>
      <w:pPr>
        <w:pStyle w:val="1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lang w:val="zh-CN"/>
        </w:rPr>
        <w:t>认为</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val="zh-CN"/>
        </w:rPr>
        <w:t>文件、</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lang w:val="zh-CN"/>
        </w:rPr>
        <w:t>过程和中标结果使自己的权益收到损害的，可以在知道或者应知其权益收到损害之日起七个工作日内，以书面形式向代理机构提出质疑（在法定质疑期内一次性提出针对同一</w:t>
      </w:r>
      <w:r>
        <w:rPr>
          <w:rFonts w:hint="eastAsia" w:hAnsi="宋体" w:eastAsia="宋体" w:cs="宋体"/>
          <w:color w:val="auto"/>
          <w:sz w:val="21"/>
          <w:szCs w:val="21"/>
          <w:lang w:val="en-US" w:eastAsia="zh-CN"/>
        </w:rPr>
        <w:t>采购</w:t>
      </w:r>
      <w:r>
        <w:rPr>
          <w:rFonts w:hint="eastAsia" w:ascii="宋体" w:hAnsi="宋体" w:eastAsia="宋体" w:cs="宋体"/>
          <w:color w:val="auto"/>
          <w:sz w:val="21"/>
          <w:szCs w:val="21"/>
          <w:lang w:val="zh-CN"/>
        </w:rPr>
        <w:t>程序环节的质疑）。</w:t>
      </w:r>
    </w:p>
    <w:p>
      <w:pPr>
        <w:pStyle w:val="1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2、质疑</w:t>
      </w:r>
      <w:r>
        <w:rPr>
          <w:rFonts w:hint="eastAsia" w:hAnsi="宋体" w:eastAsia="宋体" w:cs="宋体"/>
          <w:color w:val="auto"/>
          <w:sz w:val="21"/>
          <w:szCs w:val="21"/>
          <w:lang w:val="zh-CN"/>
        </w:rPr>
        <w:t>供应商</w:t>
      </w:r>
      <w:r>
        <w:rPr>
          <w:rFonts w:hint="eastAsia" w:ascii="宋体" w:hAnsi="宋体" w:eastAsia="宋体" w:cs="宋体"/>
          <w:color w:val="auto"/>
          <w:sz w:val="21"/>
          <w:szCs w:val="21"/>
          <w:lang w:val="zh-CN"/>
        </w:rPr>
        <w:t>可直接提交、传真或邮寄方式提交质疑书（一式三份），以其他方式提出的质疑，代理机构可不予接受、答复。其中，以传真方式送达质疑书的，应及时将质疑书原件送达代理机构，代理机构以实际收到原件之日作为收到质疑的日期（在质疑期限届满前质疑书已经传真成功的，质疑不视为过期）；邮寄方式送达质疑书的，以代理机构实际收到邮件之日作为收到质疑的日期。</w:t>
      </w:r>
    </w:p>
    <w:p>
      <w:pPr>
        <w:pStyle w:val="1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3、代理机构在收到质疑</w:t>
      </w:r>
      <w:r>
        <w:rPr>
          <w:rFonts w:hint="eastAsia" w:hAnsi="宋体" w:eastAsia="宋体" w:cs="宋体"/>
          <w:color w:val="auto"/>
          <w:sz w:val="21"/>
          <w:szCs w:val="21"/>
          <w:lang w:val="zh-CN"/>
        </w:rPr>
        <w:t>供应商</w:t>
      </w:r>
      <w:r>
        <w:rPr>
          <w:rFonts w:hint="eastAsia" w:ascii="宋体" w:hAnsi="宋体" w:eastAsia="宋体" w:cs="宋体"/>
          <w:color w:val="auto"/>
          <w:sz w:val="21"/>
          <w:szCs w:val="21"/>
          <w:lang w:val="zh-CN"/>
        </w:rPr>
        <w:t>的书面质疑后7个工作日内作出书面答复（涉及项目</w:t>
      </w:r>
      <w:r>
        <w:rPr>
          <w:rFonts w:hint="eastAsia" w:hAnsi="宋体" w:eastAsia="宋体" w:cs="宋体"/>
          <w:color w:val="auto"/>
          <w:sz w:val="21"/>
          <w:szCs w:val="21"/>
          <w:lang w:val="en-US" w:eastAsia="zh-CN"/>
        </w:rPr>
        <w:t>采购</w:t>
      </w:r>
      <w:r>
        <w:rPr>
          <w:rFonts w:hint="eastAsia" w:ascii="宋体" w:hAnsi="宋体" w:eastAsia="宋体" w:cs="宋体"/>
          <w:color w:val="auto"/>
          <w:sz w:val="21"/>
          <w:szCs w:val="21"/>
          <w:lang w:val="zh-CN"/>
        </w:rPr>
        <w:t>需求内容的由</w:t>
      </w:r>
      <w:r>
        <w:rPr>
          <w:rFonts w:hint="eastAsia" w:hAnsi="宋体" w:eastAsia="宋体" w:cs="宋体"/>
          <w:color w:val="auto"/>
          <w:sz w:val="21"/>
          <w:szCs w:val="21"/>
          <w:lang w:val="zh-CN"/>
        </w:rPr>
        <w:t>采购人</w:t>
      </w:r>
      <w:r>
        <w:rPr>
          <w:rFonts w:hint="eastAsia" w:ascii="宋体" w:hAnsi="宋体" w:eastAsia="宋体" w:cs="宋体"/>
          <w:color w:val="auto"/>
          <w:sz w:val="21"/>
          <w:szCs w:val="21"/>
          <w:lang w:val="zh-CN"/>
        </w:rPr>
        <w:t>答复），质疑人在收到答复后应于1 日内，以书面或传真形式（签署意见并加盖公章）向代理机构回复予以确认。过期未回复的，视为默认接受。</w:t>
      </w:r>
    </w:p>
    <w:p>
      <w:pPr>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4、质疑</w:t>
      </w: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lang w:val="zh-CN"/>
        </w:rPr>
        <w:t>捏造事实、提供虚假材料进行质疑的，代理机构报告同级监</w:t>
      </w:r>
      <w:r>
        <w:rPr>
          <w:rFonts w:hint="eastAsia" w:ascii="宋体" w:hAnsi="宋体" w:eastAsia="宋体" w:cs="宋体"/>
          <w:color w:val="auto"/>
          <w:sz w:val="21"/>
          <w:szCs w:val="21"/>
          <w:lang w:val="zh-CN" w:eastAsia="zh-CN"/>
        </w:rPr>
        <w:t>督</w:t>
      </w:r>
      <w:r>
        <w:rPr>
          <w:rFonts w:hint="eastAsia" w:ascii="宋体" w:hAnsi="宋体" w:eastAsia="宋体" w:cs="宋体"/>
          <w:color w:val="auto"/>
          <w:sz w:val="21"/>
          <w:szCs w:val="21"/>
          <w:lang w:val="zh-CN"/>
        </w:rPr>
        <w:t>部门。情况属实的，列入不良行为记录并在指定的媒体上公告。</w:t>
      </w:r>
    </w:p>
    <w:p>
      <w:pPr>
        <w:pStyle w:val="2"/>
        <w:pageBreakBefore w:val="0"/>
        <w:widowControl w:val="0"/>
        <w:kinsoku/>
        <w:wordWrap/>
        <w:overflowPunct/>
        <w:topLinePunct w:val="0"/>
        <w:autoSpaceDE/>
        <w:autoSpaceDN/>
        <w:bidi w:val="0"/>
        <w:adjustRightInd/>
        <w:snapToGrid/>
        <w:spacing w:before="0" w:beforeLines="0" w:after="0" w:afterLines="0" w:line="360" w:lineRule="auto"/>
        <w:ind w:firstLine="420" w:firstLineChars="200"/>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rPr>
        <w:t>5、</w:t>
      </w:r>
      <w:r>
        <w:rPr>
          <w:rFonts w:hint="eastAsia" w:ascii="宋体" w:hAnsi="宋体" w:eastAsia="宋体" w:cs="宋体"/>
          <w:b w:val="0"/>
          <w:bCs w:val="0"/>
          <w:color w:val="auto"/>
          <w:kern w:val="0"/>
          <w:sz w:val="21"/>
          <w:szCs w:val="21"/>
        </w:rPr>
        <w:t>质疑</w:t>
      </w:r>
      <w:r>
        <w:rPr>
          <w:rFonts w:hint="eastAsia" w:ascii="宋体" w:hAnsi="宋体" w:eastAsia="宋体" w:cs="宋体"/>
          <w:b w:val="0"/>
          <w:bCs w:val="0"/>
          <w:color w:val="auto"/>
          <w:kern w:val="0"/>
          <w:sz w:val="21"/>
          <w:szCs w:val="21"/>
          <w:lang w:val="en-US" w:eastAsia="zh-CN"/>
        </w:rPr>
        <w:t>供应商</w:t>
      </w:r>
      <w:r>
        <w:rPr>
          <w:rFonts w:hint="eastAsia" w:ascii="宋体" w:hAnsi="宋体" w:eastAsia="宋体" w:cs="宋体"/>
          <w:b w:val="0"/>
          <w:bCs w:val="0"/>
          <w:color w:val="auto"/>
          <w:kern w:val="0"/>
          <w:sz w:val="21"/>
          <w:szCs w:val="21"/>
        </w:rPr>
        <w:t>对</w:t>
      </w:r>
      <w:r>
        <w:rPr>
          <w:rFonts w:hint="eastAsia" w:ascii="宋体" w:hAnsi="宋体" w:eastAsia="宋体" w:cs="宋体"/>
          <w:b w:val="0"/>
          <w:bCs w:val="0"/>
          <w:color w:val="auto"/>
          <w:kern w:val="0"/>
          <w:sz w:val="21"/>
          <w:szCs w:val="21"/>
          <w:lang w:val="en-US" w:eastAsia="zh-CN"/>
        </w:rPr>
        <w:t>采购</w:t>
      </w:r>
      <w:r>
        <w:rPr>
          <w:rFonts w:hint="eastAsia" w:ascii="宋体" w:hAnsi="宋体" w:eastAsia="宋体" w:cs="宋体"/>
          <w:b w:val="0"/>
          <w:bCs w:val="0"/>
          <w:color w:val="auto"/>
          <w:kern w:val="0"/>
          <w:sz w:val="21"/>
          <w:szCs w:val="21"/>
          <w:lang w:eastAsia="zh-CN"/>
        </w:rPr>
        <w:t>人</w:t>
      </w:r>
      <w:r>
        <w:rPr>
          <w:rFonts w:hint="eastAsia" w:ascii="宋体" w:hAnsi="宋体" w:eastAsia="宋体" w:cs="宋体"/>
          <w:b w:val="0"/>
          <w:bCs w:val="0"/>
          <w:color w:val="auto"/>
          <w:kern w:val="0"/>
          <w:sz w:val="21"/>
          <w:szCs w:val="21"/>
        </w:rPr>
        <w:t>、</w:t>
      </w:r>
      <w:r>
        <w:rPr>
          <w:rFonts w:hint="eastAsia" w:ascii="宋体" w:hAnsi="宋体" w:eastAsia="宋体" w:cs="宋体"/>
          <w:b w:val="0"/>
          <w:bCs w:val="0"/>
          <w:color w:val="auto"/>
          <w:kern w:val="0"/>
          <w:sz w:val="21"/>
          <w:szCs w:val="21"/>
          <w:lang w:eastAsia="zh-CN"/>
        </w:rPr>
        <w:t>代理机构</w:t>
      </w:r>
      <w:r>
        <w:rPr>
          <w:rFonts w:hint="eastAsia" w:ascii="宋体" w:hAnsi="宋体" w:eastAsia="宋体" w:cs="宋体"/>
          <w:b w:val="0"/>
          <w:bCs w:val="0"/>
          <w:color w:val="auto"/>
          <w:kern w:val="0"/>
          <w:sz w:val="21"/>
          <w:szCs w:val="21"/>
        </w:rPr>
        <w:t>的答复不满意或者</w:t>
      </w:r>
      <w:r>
        <w:rPr>
          <w:rFonts w:hint="eastAsia" w:ascii="宋体" w:hAnsi="宋体" w:eastAsia="宋体" w:cs="宋体"/>
          <w:b w:val="0"/>
          <w:bCs w:val="0"/>
          <w:color w:val="auto"/>
          <w:kern w:val="0"/>
          <w:sz w:val="21"/>
          <w:szCs w:val="21"/>
          <w:lang w:val="en-US" w:eastAsia="zh-CN"/>
        </w:rPr>
        <w:t>采购</w:t>
      </w:r>
      <w:r>
        <w:rPr>
          <w:rFonts w:hint="eastAsia" w:ascii="宋体" w:hAnsi="宋体" w:eastAsia="宋体" w:cs="宋体"/>
          <w:b w:val="0"/>
          <w:bCs w:val="0"/>
          <w:color w:val="auto"/>
          <w:kern w:val="0"/>
          <w:sz w:val="21"/>
          <w:szCs w:val="21"/>
          <w:lang w:eastAsia="zh-CN"/>
        </w:rPr>
        <w:t>人</w:t>
      </w:r>
      <w:r>
        <w:rPr>
          <w:rFonts w:hint="eastAsia" w:ascii="宋体" w:hAnsi="宋体" w:eastAsia="宋体" w:cs="宋体"/>
          <w:b w:val="0"/>
          <w:bCs w:val="0"/>
          <w:color w:val="auto"/>
          <w:kern w:val="0"/>
          <w:sz w:val="21"/>
          <w:szCs w:val="21"/>
        </w:rPr>
        <w:t>、</w:t>
      </w:r>
      <w:r>
        <w:rPr>
          <w:rFonts w:hint="eastAsia" w:ascii="宋体" w:hAnsi="宋体" w:eastAsia="宋体" w:cs="宋体"/>
          <w:b w:val="0"/>
          <w:bCs w:val="0"/>
          <w:color w:val="auto"/>
          <w:kern w:val="0"/>
          <w:sz w:val="21"/>
          <w:szCs w:val="21"/>
          <w:lang w:eastAsia="zh-CN"/>
        </w:rPr>
        <w:t>代理机构</w:t>
      </w:r>
      <w:r>
        <w:rPr>
          <w:rFonts w:hint="eastAsia" w:ascii="宋体" w:hAnsi="宋体" w:eastAsia="宋体" w:cs="宋体"/>
          <w:b w:val="0"/>
          <w:bCs w:val="0"/>
          <w:color w:val="auto"/>
          <w:kern w:val="0"/>
          <w:sz w:val="21"/>
          <w:szCs w:val="21"/>
        </w:rPr>
        <w:t>未在规定的时间内作出答复的，可以在答复期满后十五个工作日内向</w:t>
      </w:r>
      <w:r>
        <w:rPr>
          <w:rFonts w:hint="eastAsia" w:ascii="宋体" w:hAnsi="宋体" w:eastAsia="宋体" w:cs="宋体"/>
          <w:b w:val="0"/>
          <w:bCs w:val="0"/>
          <w:color w:val="auto"/>
          <w:sz w:val="21"/>
          <w:szCs w:val="21"/>
          <w:lang w:val="zh-CN"/>
        </w:rPr>
        <w:t>同级监</w:t>
      </w:r>
      <w:r>
        <w:rPr>
          <w:rFonts w:hint="eastAsia" w:ascii="宋体" w:hAnsi="宋体" w:eastAsia="宋体" w:cs="宋体"/>
          <w:b w:val="0"/>
          <w:bCs w:val="0"/>
          <w:color w:val="auto"/>
          <w:sz w:val="21"/>
          <w:szCs w:val="21"/>
          <w:lang w:val="zh-CN" w:eastAsia="zh-CN"/>
        </w:rPr>
        <w:t>督</w:t>
      </w:r>
      <w:r>
        <w:rPr>
          <w:rFonts w:hint="eastAsia" w:ascii="宋体" w:hAnsi="宋体" w:eastAsia="宋体" w:cs="宋体"/>
          <w:b w:val="0"/>
          <w:bCs w:val="0"/>
          <w:color w:val="auto"/>
          <w:sz w:val="21"/>
          <w:szCs w:val="21"/>
          <w:lang w:val="zh-CN"/>
        </w:rPr>
        <w:t>部门</w:t>
      </w:r>
      <w:r>
        <w:rPr>
          <w:rFonts w:hint="eastAsia" w:ascii="宋体" w:hAnsi="宋体" w:eastAsia="宋体" w:cs="宋体"/>
          <w:b w:val="0"/>
          <w:bCs w:val="0"/>
          <w:color w:val="auto"/>
          <w:kern w:val="0"/>
          <w:sz w:val="21"/>
          <w:szCs w:val="21"/>
        </w:rPr>
        <w:t>投诉。</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jc w:val="left"/>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二、磋商文件</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hint="eastAsia" w:ascii="宋体"/>
          <w:b/>
          <w:color w:val="auto"/>
          <w:sz w:val="21"/>
          <w:szCs w:val="21"/>
          <w:lang w:val="zh-CN"/>
        </w:rPr>
      </w:pPr>
      <w:r>
        <w:rPr>
          <w:rFonts w:hint="eastAsia" w:ascii="宋体"/>
          <w:b/>
          <w:color w:val="auto"/>
          <w:sz w:val="21"/>
          <w:szCs w:val="21"/>
          <w:lang w:val="zh-CN"/>
        </w:rPr>
        <w:t>（一）</w:t>
      </w:r>
      <w:r>
        <w:rPr>
          <w:rFonts w:hint="eastAsia" w:ascii="宋体"/>
          <w:b/>
          <w:color w:val="auto"/>
          <w:sz w:val="21"/>
          <w:szCs w:val="21"/>
          <w:lang w:val="en-US" w:eastAsia="zh-CN"/>
        </w:rPr>
        <w:t>磋商</w:t>
      </w:r>
      <w:r>
        <w:rPr>
          <w:rFonts w:hint="eastAsia" w:ascii="宋体"/>
          <w:b/>
          <w:color w:val="auto"/>
          <w:sz w:val="21"/>
          <w:szCs w:val="21"/>
          <w:lang w:val="zh-CN"/>
        </w:rPr>
        <w:t>文件的构成</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color w:val="auto"/>
          <w:sz w:val="21"/>
          <w:szCs w:val="21"/>
          <w:lang w:val="zh-CN"/>
        </w:rPr>
      </w:pPr>
      <w:r>
        <w:rPr>
          <w:rFonts w:hint="eastAsia" w:ascii="宋体"/>
          <w:color w:val="auto"/>
          <w:sz w:val="21"/>
          <w:szCs w:val="21"/>
          <w:lang w:val="zh-CN"/>
        </w:rPr>
        <w:t>本</w:t>
      </w:r>
      <w:r>
        <w:rPr>
          <w:rFonts w:hint="eastAsia" w:ascii="宋体"/>
          <w:color w:val="auto"/>
          <w:sz w:val="21"/>
          <w:szCs w:val="21"/>
          <w:lang w:val="en-US" w:eastAsia="zh-CN"/>
        </w:rPr>
        <w:t>磋商</w:t>
      </w:r>
      <w:r>
        <w:rPr>
          <w:rFonts w:hint="eastAsia" w:ascii="宋体"/>
          <w:color w:val="auto"/>
          <w:sz w:val="21"/>
          <w:szCs w:val="21"/>
          <w:lang w:val="zh-CN"/>
        </w:rPr>
        <w:t>文件由以下部份组成：</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en-US" w:eastAsia="zh-CN"/>
        </w:rPr>
        <w:t>竞争性磋商</w:t>
      </w:r>
      <w:r>
        <w:rPr>
          <w:rFonts w:hint="eastAsia" w:ascii="宋体"/>
          <w:color w:val="auto"/>
          <w:sz w:val="21"/>
          <w:szCs w:val="21"/>
          <w:lang w:val="zh-CN"/>
        </w:rPr>
        <w:t>公告</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en-US" w:eastAsia="zh-CN"/>
        </w:rPr>
        <w:t>采购</w:t>
      </w:r>
      <w:r>
        <w:rPr>
          <w:rFonts w:hint="eastAsia" w:ascii="宋体"/>
          <w:color w:val="auto"/>
          <w:sz w:val="21"/>
          <w:szCs w:val="21"/>
          <w:lang w:val="zh-CN"/>
        </w:rPr>
        <w:t>需求</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en-US" w:eastAsia="zh-CN"/>
        </w:rPr>
        <w:t>供应商</w:t>
      </w:r>
      <w:r>
        <w:rPr>
          <w:rFonts w:hint="eastAsia" w:ascii="宋体"/>
          <w:color w:val="auto"/>
          <w:sz w:val="21"/>
          <w:szCs w:val="21"/>
          <w:lang w:val="zh-CN"/>
        </w:rPr>
        <w:t>须知</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zh-CN"/>
        </w:rPr>
        <w:t>评标办法及评分标准</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zh-CN"/>
        </w:rPr>
        <w:t>合同主要条款</w:t>
      </w:r>
    </w:p>
    <w:p>
      <w:pPr>
        <w:keepNext w:val="0"/>
        <w:keepLines w:val="0"/>
        <w:pageBreakBefore w:val="0"/>
        <w:widowControl w:val="0"/>
        <w:numPr>
          <w:ilvl w:val="0"/>
          <w:numId w:val="7"/>
        </w:numPr>
        <w:kinsoku/>
        <w:wordWrap/>
        <w:overflowPunct/>
        <w:topLinePunct w:val="0"/>
        <w:autoSpaceDE w:val="0"/>
        <w:autoSpaceDN w:val="0"/>
        <w:bidi w:val="0"/>
        <w:adjustRightInd w:val="0"/>
        <w:spacing w:line="360" w:lineRule="auto"/>
        <w:textAlignment w:val="auto"/>
        <w:rPr>
          <w:rFonts w:hint="eastAsia" w:ascii="宋体"/>
          <w:color w:val="auto"/>
          <w:sz w:val="21"/>
          <w:szCs w:val="21"/>
          <w:lang w:val="zh-CN"/>
        </w:rPr>
      </w:pPr>
      <w:r>
        <w:rPr>
          <w:rFonts w:hint="eastAsia" w:ascii="宋体"/>
          <w:color w:val="auto"/>
          <w:sz w:val="21"/>
          <w:szCs w:val="21"/>
          <w:lang w:val="en-US" w:eastAsia="zh-CN"/>
        </w:rPr>
        <w:t>磋商响应</w:t>
      </w:r>
      <w:r>
        <w:rPr>
          <w:rFonts w:hint="eastAsia" w:ascii="宋体"/>
          <w:color w:val="auto"/>
          <w:sz w:val="21"/>
          <w:szCs w:val="21"/>
          <w:lang w:val="zh-CN"/>
        </w:rPr>
        <w:t>文件格式</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color w:val="auto"/>
          <w:sz w:val="21"/>
          <w:szCs w:val="21"/>
          <w:lang w:val="zh-CN"/>
        </w:rPr>
      </w:pPr>
      <w:r>
        <w:rPr>
          <w:rFonts w:hint="eastAsia" w:ascii="宋体"/>
          <w:color w:val="auto"/>
          <w:sz w:val="21"/>
          <w:szCs w:val="21"/>
          <w:lang w:val="zh-CN"/>
        </w:rPr>
        <w:t>7、</w:t>
      </w:r>
      <w:r>
        <w:rPr>
          <w:rFonts w:hint="eastAsia" w:ascii="宋体" w:hAnsi="宋体"/>
          <w:color w:val="auto"/>
          <w:sz w:val="21"/>
          <w:szCs w:val="21"/>
        </w:rPr>
        <w:t>本项目</w:t>
      </w:r>
      <w:r>
        <w:rPr>
          <w:rFonts w:hint="eastAsia" w:ascii="宋体" w:hAnsi="宋体"/>
          <w:color w:val="auto"/>
          <w:sz w:val="21"/>
          <w:szCs w:val="21"/>
          <w:lang w:val="en-US" w:eastAsia="zh-CN"/>
        </w:rPr>
        <w:t>磋商</w:t>
      </w:r>
      <w:r>
        <w:rPr>
          <w:rFonts w:hint="eastAsia" w:ascii="宋体" w:hAnsi="宋体"/>
          <w:color w:val="auto"/>
          <w:sz w:val="21"/>
          <w:szCs w:val="21"/>
        </w:rPr>
        <w:t>文件的澄清、答复、修改、补充的内容</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b/>
          <w:color w:val="auto"/>
          <w:sz w:val="21"/>
          <w:szCs w:val="21"/>
          <w:lang w:val="zh-CN"/>
        </w:rPr>
      </w:pPr>
      <w:r>
        <w:rPr>
          <w:rFonts w:hint="eastAsia" w:ascii="宋体"/>
          <w:b/>
          <w:color w:val="auto"/>
          <w:sz w:val="21"/>
          <w:szCs w:val="21"/>
          <w:lang w:val="zh-CN"/>
        </w:rPr>
        <w:t>（二）</w:t>
      </w:r>
      <w:r>
        <w:rPr>
          <w:rFonts w:hint="eastAsia" w:ascii="宋体"/>
          <w:b/>
          <w:color w:val="auto"/>
          <w:sz w:val="21"/>
          <w:szCs w:val="21"/>
          <w:lang w:val="en-US" w:eastAsia="zh-CN"/>
        </w:rPr>
        <w:t>磋商</w:t>
      </w:r>
      <w:r>
        <w:rPr>
          <w:rFonts w:hint="eastAsia" w:ascii="宋体"/>
          <w:b/>
          <w:color w:val="auto"/>
          <w:sz w:val="21"/>
          <w:szCs w:val="21"/>
          <w:lang w:val="zh-CN"/>
        </w:rPr>
        <w:t>文件的澄清与修改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t>1.</w:t>
      </w:r>
      <w:r>
        <w:rPr>
          <w:rFonts w:hint="eastAsia" w:ascii="宋体" w:hAnsi="宋体" w:cs="宋体"/>
          <w:color w:val="auto"/>
          <w:sz w:val="21"/>
          <w:szCs w:val="21"/>
          <w:lang w:val="en-US" w:eastAsia="zh-CN"/>
        </w:rPr>
        <w:t>供应商</w:t>
      </w:r>
      <w:r>
        <w:rPr>
          <w:rFonts w:hint="eastAsia" w:ascii="宋体" w:hAnsi="宋体" w:cs="宋体"/>
          <w:color w:val="auto"/>
          <w:sz w:val="21"/>
          <w:szCs w:val="21"/>
          <w:lang w:val="zh-CN"/>
        </w:rPr>
        <w:t>如发现</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文件及其评标办法中存在含糊不清、相互矛盾、多种含义以及歧视性不公正条款或违法违规等有疑点需要质疑的，可以自收到</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文件之日（发售截止日之后收到采购文件的，以发售截止日为准）或者采购文件公告期限届满之日（即为</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公告发布后的第</w:t>
      </w:r>
      <w:r>
        <w:rPr>
          <w:rFonts w:hint="eastAsia" w:ascii="宋体" w:hAnsi="宋体" w:cs="宋体"/>
          <w:color w:val="auto"/>
          <w:sz w:val="21"/>
          <w:szCs w:val="21"/>
          <w:lang w:val="en-US" w:eastAsia="zh-CN"/>
        </w:rPr>
        <w:t>4</w:t>
      </w:r>
      <w:r>
        <w:rPr>
          <w:rFonts w:hint="eastAsia" w:ascii="宋体" w:hAnsi="宋体" w:cs="宋体"/>
          <w:color w:val="auto"/>
          <w:sz w:val="21"/>
          <w:szCs w:val="21"/>
          <w:lang w:val="zh-CN"/>
        </w:rPr>
        <w:t>个工作日）起7个工作日内，以书面形式向采购人和采购代理机构提出质疑。逾期不得再对</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文件内容提出质疑，并视为对</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文件内容认可。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t>2.采购代理机构对已发出的</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文件进行必要的澄清或者修改，澄清或者修改内容可能影响</w:t>
      </w:r>
      <w:r>
        <w:rPr>
          <w:rFonts w:hint="eastAsia" w:ascii="宋体" w:hAnsi="宋体" w:cs="宋体"/>
          <w:color w:val="auto"/>
          <w:sz w:val="21"/>
          <w:szCs w:val="21"/>
          <w:lang w:val="en-US" w:eastAsia="zh-CN"/>
        </w:rPr>
        <w:t>磋商响应</w:t>
      </w:r>
      <w:r>
        <w:rPr>
          <w:rFonts w:hint="eastAsia" w:ascii="宋体" w:hAnsi="宋体" w:cs="宋体"/>
          <w:color w:val="auto"/>
          <w:sz w:val="21"/>
          <w:szCs w:val="21"/>
          <w:lang w:val="zh-CN"/>
        </w:rPr>
        <w:t>文件编制的，采购代理机构于磋商响应文件提交截止时间至少5日前在“浙江省政府采购网”、“仙居县公共资源交易网”上发布澄清或更正公告；不足5日的，采购代理机构有权顺延提交</w:t>
      </w:r>
      <w:r>
        <w:rPr>
          <w:rFonts w:hint="eastAsia" w:ascii="宋体" w:hAnsi="宋体" w:cs="宋体"/>
          <w:color w:val="auto"/>
          <w:sz w:val="21"/>
          <w:szCs w:val="21"/>
          <w:lang w:val="en-US" w:eastAsia="zh-CN"/>
        </w:rPr>
        <w:t>磋商响应</w:t>
      </w:r>
      <w:r>
        <w:rPr>
          <w:rFonts w:hint="eastAsia" w:ascii="宋体" w:hAnsi="宋体" w:cs="宋体"/>
          <w:color w:val="auto"/>
          <w:sz w:val="21"/>
          <w:szCs w:val="21"/>
          <w:lang w:val="zh-CN"/>
        </w:rPr>
        <w:t>文件的截止时间。</w:t>
      </w:r>
    </w:p>
    <w:p>
      <w:pPr>
        <w:autoSpaceDE w:val="0"/>
        <w:autoSpaceDN w:val="0"/>
        <w:adjustRightInd w:val="0"/>
        <w:spacing w:line="360" w:lineRule="auto"/>
        <w:ind w:firstLine="420" w:firstLineChars="200"/>
        <w:rPr>
          <w:rFonts w:hint="eastAsia" w:ascii="宋体" w:hAnsi="宋体" w:eastAsia="宋体" w:cs="宋体"/>
          <w:b/>
          <w:color w:val="auto"/>
          <w:sz w:val="21"/>
          <w:szCs w:val="21"/>
          <w:lang w:val="zh-CN"/>
        </w:rPr>
      </w:pPr>
      <w:r>
        <w:rPr>
          <w:rFonts w:hint="eastAsia" w:ascii="宋体" w:hAnsi="宋体" w:cs="宋体"/>
          <w:color w:val="auto"/>
          <w:sz w:val="21"/>
          <w:szCs w:val="21"/>
          <w:lang w:val="zh-CN"/>
        </w:rPr>
        <w:t>3.当</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文件与</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文件的澄清、修改、补充等在同一内容的表述上不一致时，以最后发出的书面文件为准。</w:t>
      </w:r>
    </w:p>
    <w:p>
      <w:pPr>
        <w:autoSpaceDE w:val="0"/>
        <w:autoSpaceDN w:val="0"/>
        <w:adjustRightInd w:val="0"/>
        <w:spacing w:line="360" w:lineRule="auto"/>
        <w:ind w:firstLine="422" w:firstLineChars="200"/>
        <w:jc w:val="left"/>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三</w:t>
      </w:r>
      <w:r>
        <w:rPr>
          <w:rFonts w:hint="eastAsia" w:ascii="宋体" w:hAnsi="宋体" w:eastAsia="宋体" w:cs="宋体"/>
          <w:b/>
          <w:color w:val="auto"/>
          <w:sz w:val="21"/>
          <w:szCs w:val="21"/>
          <w:lang w:val="zh-CN"/>
        </w:rPr>
        <w:t>、磋商响应文件</w:t>
      </w:r>
      <w:r>
        <w:rPr>
          <w:rFonts w:hint="eastAsia" w:ascii="宋体" w:hAnsi="宋体" w:eastAsia="宋体" w:cs="宋体"/>
          <w:b/>
          <w:color w:val="auto"/>
          <w:sz w:val="21"/>
          <w:szCs w:val="21"/>
          <w:lang w:val="en-US" w:eastAsia="zh-CN"/>
        </w:rPr>
        <w:t>的编制</w:t>
      </w:r>
    </w:p>
    <w:p>
      <w:pPr>
        <w:autoSpaceDE w:val="0"/>
        <w:autoSpaceDN w:val="0"/>
        <w:adjustRightInd w:val="0"/>
        <w:spacing w:line="360" w:lineRule="auto"/>
        <w:ind w:firstLine="422" w:firstLineChars="200"/>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（一）磋商响应文件的组成</w:t>
      </w:r>
    </w:p>
    <w:p>
      <w:pPr>
        <w:autoSpaceDE w:val="0"/>
        <w:autoSpaceDN w:val="0"/>
        <w:adjustRightInd w:val="0"/>
        <w:spacing w:line="360" w:lineRule="auto"/>
        <w:ind w:firstLine="420" w:firstLineChars="200"/>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en-US" w:eastAsia="zh-CN"/>
        </w:rPr>
        <w:t>1、供应商</w:t>
      </w:r>
      <w:r>
        <w:rPr>
          <w:rFonts w:hint="eastAsia" w:ascii="宋体" w:hAnsi="宋体" w:eastAsia="宋体" w:cs="宋体"/>
          <w:b w:val="0"/>
          <w:bCs/>
          <w:color w:val="auto"/>
          <w:sz w:val="21"/>
          <w:szCs w:val="21"/>
          <w:lang w:val="zh-CN"/>
        </w:rPr>
        <w:t>应仔细阅读</w:t>
      </w:r>
      <w:r>
        <w:rPr>
          <w:rFonts w:hint="eastAsia" w:ascii="宋体" w:hAnsi="宋体" w:eastAsia="宋体" w:cs="宋体"/>
          <w:b w:val="0"/>
          <w:bCs/>
          <w:color w:val="auto"/>
          <w:sz w:val="21"/>
          <w:szCs w:val="21"/>
          <w:lang w:val="en-US" w:eastAsia="zh-CN"/>
        </w:rPr>
        <w:t>磋商</w:t>
      </w:r>
      <w:r>
        <w:rPr>
          <w:rFonts w:hint="eastAsia" w:ascii="宋体" w:hAnsi="宋体" w:eastAsia="宋体" w:cs="宋体"/>
          <w:b w:val="0"/>
          <w:bCs/>
          <w:color w:val="auto"/>
          <w:sz w:val="21"/>
          <w:szCs w:val="21"/>
          <w:lang w:val="zh-CN"/>
        </w:rPr>
        <w:t>文件的所有内容，按照</w:t>
      </w:r>
      <w:r>
        <w:rPr>
          <w:rFonts w:hint="eastAsia" w:ascii="宋体" w:hAnsi="宋体" w:eastAsia="宋体" w:cs="宋体"/>
          <w:b w:val="0"/>
          <w:bCs/>
          <w:color w:val="auto"/>
          <w:sz w:val="21"/>
          <w:szCs w:val="21"/>
          <w:lang w:val="en-US" w:eastAsia="zh-CN"/>
        </w:rPr>
        <w:t>磋商</w:t>
      </w:r>
      <w:r>
        <w:rPr>
          <w:rFonts w:hint="eastAsia" w:ascii="宋体" w:hAnsi="宋体" w:eastAsia="宋体" w:cs="宋体"/>
          <w:b w:val="0"/>
          <w:bCs/>
          <w:color w:val="auto"/>
          <w:sz w:val="21"/>
          <w:szCs w:val="21"/>
          <w:lang w:val="zh-CN"/>
        </w:rPr>
        <w:t>文件的要求编制和提交</w:t>
      </w:r>
      <w:r>
        <w:rPr>
          <w:rFonts w:hint="eastAsia" w:ascii="宋体" w:hAnsi="宋体" w:eastAsia="宋体" w:cs="宋体"/>
          <w:b w:val="0"/>
          <w:bCs/>
          <w:color w:val="auto"/>
          <w:sz w:val="21"/>
          <w:szCs w:val="21"/>
          <w:lang w:val="en-US" w:eastAsia="zh-CN"/>
        </w:rPr>
        <w:t>磋商响应</w:t>
      </w:r>
      <w:r>
        <w:rPr>
          <w:rFonts w:hint="eastAsia" w:ascii="宋体" w:hAnsi="宋体" w:eastAsia="宋体" w:cs="宋体"/>
          <w:b w:val="0"/>
          <w:bCs/>
          <w:color w:val="auto"/>
          <w:sz w:val="21"/>
          <w:szCs w:val="21"/>
          <w:lang w:val="zh-CN"/>
        </w:rPr>
        <w:t>文件，并对所提供的全部资料的真实性承担法律责任。</w:t>
      </w:r>
    </w:p>
    <w:p>
      <w:pPr>
        <w:autoSpaceDE w:val="0"/>
        <w:autoSpaceDN w:val="0"/>
        <w:adjustRightInd w:val="0"/>
        <w:spacing w:line="360" w:lineRule="auto"/>
        <w:ind w:firstLine="420" w:firstLineChars="200"/>
        <w:rPr>
          <w:rFonts w:hint="eastAsia" w:ascii="宋体" w:hAnsi="宋体" w:eastAsia="宋体" w:cs="宋体"/>
          <w:b/>
          <w:color w:val="auto"/>
          <w:sz w:val="21"/>
          <w:szCs w:val="21"/>
          <w:lang w:val="zh-CN"/>
        </w:rPr>
      </w:pPr>
      <w:r>
        <w:rPr>
          <w:rFonts w:hint="eastAsia" w:ascii="宋体" w:hAnsi="宋体" w:eastAsia="宋体" w:cs="宋体"/>
          <w:b w:val="0"/>
          <w:bCs/>
          <w:color w:val="auto"/>
          <w:sz w:val="21"/>
          <w:szCs w:val="21"/>
          <w:lang w:val="en-US" w:eastAsia="zh-CN"/>
        </w:rPr>
        <w:t>2、磋商响应文件由资格证明文件、商务与技术文件、报价文件组成。</w:t>
      </w:r>
      <w:r>
        <w:rPr>
          <w:rFonts w:hint="eastAsia" w:ascii="宋体" w:hAnsi="宋体" w:eastAsia="宋体" w:cs="宋体"/>
          <w:b/>
          <w:color w:val="auto"/>
          <w:sz w:val="21"/>
          <w:szCs w:val="21"/>
          <w:lang w:val="zh-CN"/>
        </w:rPr>
        <w:t>【特别提示：如有要求提供资料原件的，原件另行包装，并与磋商响应文件一起提交，磋商响应截止时间后所有原件不予接收。资料原件也可以用与原件相符的公证原件替代】</w:t>
      </w:r>
    </w:p>
    <w:p>
      <w:pPr>
        <w:snapToGri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资格证明文件的组成：</w:t>
      </w:r>
    </w:p>
    <w:p>
      <w:pPr>
        <w:snapToGrid w:val="0"/>
        <w:spacing w:beforeLines="0" w:afterLines="0" w:line="360" w:lineRule="auto"/>
        <w:ind w:firstLine="420" w:firstLineChars="200"/>
        <w:rPr>
          <w:rFonts w:hint="default" w:ascii="宋体" w:hAnsi="宋体" w:eastAsia="宋体"/>
          <w:color w:val="auto"/>
          <w:sz w:val="21"/>
          <w:lang w:val="zh-CN"/>
        </w:rPr>
      </w:pPr>
      <w:r>
        <w:rPr>
          <w:rFonts w:hint="default" w:ascii="宋体" w:hAnsi="宋体" w:eastAsia="宋体"/>
          <w:color w:val="auto"/>
          <w:sz w:val="21"/>
          <w:lang w:val="zh-CN"/>
        </w:rPr>
        <w:t>（1）磋商声明书(格式见附件)；</w:t>
      </w:r>
    </w:p>
    <w:p>
      <w:pPr>
        <w:snapToGrid w:val="0"/>
        <w:spacing w:beforeLines="0" w:afterLines="0" w:line="360" w:lineRule="auto"/>
        <w:ind w:firstLine="420" w:firstLineChars="200"/>
        <w:rPr>
          <w:rFonts w:hint="default" w:ascii="宋体" w:hAnsi="宋体" w:eastAsia="宋体"/>
          <w:color w:val="auto"/>
          <w:sz w:val="21"/>
          <w:lang w:val="zh-CN"/>
        </w:rPr>
      </w:pPr>
      <w:r>
        <w:rPr>
          <w:rFonts w:hint="default" w:ascii="宋体" w:hAnsi="宋体" w:eastAsia="宋体"/>
          <w:color w:val="auto"/>
          <w:sz w:val="21"/>
          <w:lang w:val="zh-CN"/>
        </w:rPr>
        <w:t>（2）授权委托书(格式见附件)（法定代表人亲自办理</w:t>
      </w:r>
      <w:r>
        <w:rPr>
          <w:rFonts w:hint="default" w:ascii="宋体" w:hAnsi="宋体" w:eastAsia="宋体"/>
          <w:sz w:val="21"/>
          <w:lang w:val="zh-CN"/>
        </w:rPr>
        <w:t>磋商</w:t>
      </w:r>
      <w:r>
        <w:rPr>
          <w:rFonts w:hint="default" w:ascii="宋体" w:hAnsi="宋体" w:eastAsia="宋体"/>
          <w:color w:val="auto"/>
          <w:sz w:val="21"/>
          <w:lang w:val="zh-CN"/>
        </w:rPr>
        <w:t>事宜的，可提供法定代表人有效的身份证；</w:t>
      </w:r>
      <w:r>
        <w:rPr>
          <w:rFonts w:hint="default" w:ascii="宋体" w:hAnsi="宋体" w:eastAsia="宋体"/>
          <w:sz w:val="21"/>
          <w:lang w:val="zh-CN"/>
        </w:rPr>
        <w:t>若自然人参加磋商的，则无须提供</w:t>
      </w:r>
      <w:r>
        <w:rPr>
          <w:rFonts w:hint="default" w:ascii="宋体" w:hAnsi="宋体" w:eastAsia="宋体"/>
          <w:color w:val="auto"/>
          <w:sz w:val="21"/>
          <w:lang w:val="zh-CN"/>
        </w:rPr>
        <w:t>）；</w:t>
      </w:r>
    </w:p>
    <w:p>
      <w:pPr>
        <w:snapToGrid w:val="0"/>
        <w:spacing w:beforeLines="0" w:afterLines="0" w:line="360" w:lineRule="auto"/>
        <w:ind w:firstLine="420" w:firstLineChars="200"/>
        <w:rPr>
          <w:rFonts w:hint="default" w:ascii="宋体" w:hAnsi="宋体" w:eastAsia="宋体"/>
          <w:sz w:val="21"/>
          <w:lang w:val="zh-CN"/>
        </w:rPr>
      </w:pPr>
      <w:r>
        <w:rPr>
          <w:rFonts w:hint="default" w:ascii="宋体" w:hAnsi="宋体" w:eastAsia="宋体"/>
          <w:color w:val="auto"/>
          <w:sz w:val="21"/>
          <w:lang w:val="zh-CN"/>
        </w:rPr>
        <w:t>（</w:t>
      </w:r>
      <w:r>
        <w:rPr>
          <w:rFonts w:hint="default" w:ascii="宋体" w:hAnsi="宋体" w:eastAsia="宋体"/>
          <w:color w:val="auto"/>
          <w:sz w:val="21"/>
        </w:rPr>
        <w:t>3</w:t>
      </w:r>
      <w:r>
        <w:rPr>
          <w:rFonts w:hint="default" w:ascii="宋体" w:hAnsi="宋体" w:eastAsia="宋体"/>
          <w:color w:val="auto"/>
          <w:sz w:val="21"/>
          <w:lang w:val="zh-CN"/>
        </w:rPr>
        <w:t>）提供有效的营业执照复印件；如事业单位参加磋商的，则提供有效的《事业单位法人证书》复印件；</w:t>
      </w:r>
      <w:r>
        <w:rPr>
          <w:rFonts w:hint="default" w:ascii="宋体" w:hAnsi="宋体" w:eastAsia="宋体"/>
          <w:sz w:val="21"/>
          <w:lang w:val="zh-CN"/>
        </w:rPr>
        <w:t>如自然人参加磋商的，则提供自然人身份证复印件；</w:t>
      </w:r>
    </w:p>
    <w:p>
      <w:pPr>
        <w:snapToGrid w:val="0"/>
        <w:spacing w:beforeLines="0" w:afterLines="0" w:line="360" w:lineRule="auto"/>
        <w:ind w:firstLine="420" w:firstLineChars="200"/>
        <w:rPr>
          <w:rFonts w:hint="default" w:ascii="宋体" w:hAnsi="宋体" w:eastAsia="宋体"/>
          <w:color w:val="auto"/>
          <w:sz w:val="21"/>
          <w:lang w:val="zh-CN"/>
        </w:rPr>
      </w:pPr>
      <w:r>
        <w:rPr>
          <w:rFonts w:hint="default" w:ascii="宋体" w:hAnsi="宋体" w:eastAsia="宋体"/>
          <w:color w:val="auto"/>
          <w:sz w:val="21"/>
          <w:lang w:val="zh-CN"/>
        </w:rPr>
        <w:t>（</w:t>
      </w:r>
      <w:r>
        <w:rPr>
          <w:rFonts w:hint="default" w:ascii="宋体" w:hAnsi="宋体" w:eastAsia="宋体"/>
          <w:color w:val="auto"/>
          <w:sz w:val="21"/>
        </w:rPr>
        <w:t>4</w:t>
      </w:r>
      <w:r>
        <w:rPr>
          <w:rFonts w:hint="default" w:ascii="宋体" w:hAnsi="宋体" w:eastAsia="宋体"/>
          <w:color w:val="auto"/>
          <w:sz w:val="21"/>
          <w:lang w:val="zh-CN"/>
        </w:rPr>
        <w:t>）依法缴纳税收及社会保障资金的承诺函（格式见附件）</w:t>
      </w:r>
    </w:p>
    <w:p>
      <w:pPr>
        <w:snapToGrid w:val="0"/>
        <w:spacing w:beforeLines="0" w:afterLines="0" w:line="360" w:lineRule="auto"/>
        <w:ind w:firstLine="420" w:firstLineChars="200"/>
        <w:rPr>
          <w:rFonts w:hint="default" w:ascii="宋体" w:hAnsi="宋体" w:eastAsia="宋体"/>
          <w:color w:val="auto"/>
          <w:sz w:val="21"/>
        </w:rPr>
      </w:pPr>
      <w:r>
        <w:rPr>
          <w:rFonts w:hint="default" w:ascii="宋体" w:hAnsi="宋体" w:eastAsia="宋体"/>
          <w:color w:val="auto"/>
          <w:sz w:val="21"/>
          <w:lang w:val="zh-CN"/>
        </w:rPr>
        <w:t>（</w:t>
      </w:r>
      <w:r>
        <w:rPr>
          <w:rFonts w:hint="default" w:ascii="宋体" w:hAnsi="宋体" w:eastAsia="宋体"/>
          <w:color w:val="auto"/>
          <w:sz w:val="21"/>
        </w:rPr>
        <w:t>5</w:t>
      </w:r>
      <w:r>
        <w:rPr>
          <w:rFonts w:hint="default" w:ascii="宋体" w:hAnsi="宋体" w:eastAsia="宋体"/>
          <w:color w:val="auto"/>
          <w:sz w:val="21"/>
          <w:lang w:val="zh-CN"/>
        </w:rPr>
        <w:t>）具有良好的商业信誉、健全的财务状况</w:t>
      </w:r>
      <w:r>
        <w:rPr>
          <w:rFonts w:hint="default" w:hAnsi="宋体"/>
          <w:color w:val="auto"/>
          <w:sz w:val="21"/>
          <w:lang w:val="zh-CN"/>
        </w:rPr>
        <w:t>的</w:t>
      </w:r>
      <w:r>
        <w:rPr>
          <w:rFonts w:hint="default" w:ascii="宋体" w:hAnsi="宋体" w:eastAsia="宋体"/>
          <w:color w:val="auto"/>
          <w:sz w:val="21"/>
          <w:lang w:val="zh-CN"/>
        </w:rPr>
        <w:t>承诺函（格式见附件）</w:t>
      </w:r>
    </w:p>
    <w:p>
      <w:pPr>
        <w:snapToGrid w:val="0"/>
        <w:spacing w:beforeLines="0" w:afterLines="0" w:line="360" w:lineRule="auto"/>
        <w:ind w:firstLine="420" w:firstLineChars="200"/>
        <w:rPr>
          <w:rFonts w:hint="default" w:ascii="宋体" w:hAnsi="宋体" w:eastAsia="宋体"/>
          <w:color w:val="auto"/>
          <w:sz w:val="21"/>
          <w:lang w:val="zh-CN"/>
        </w:rPr>
      </w:pPr>
      <w:r>
        <w:rPr>
          <w:rFonts w:hint="default" w:ascii="宋体" w:hAnsi="宋体" w:eastAsia="宋体"/>
          <w:color w:val="auto"/>
          <w:sz w:val="21"/>
          <w:lang w:val="zh-CN"/>
        </w:rPr>
        <w:t>（</w:t>
      </w:r>
      <w:r>
        <w:rPr>
          <w:rFonts w:hint="default" w:ascii="宋体" w:hAnsi="宋体" w:eastAsia="宋体"/>
          <w:color w:val="auto"/>
          <w:sz w:val="21"/>
        </w:rPr>
        <w:t>6</w:t>
      </w:r>
      <w:r>
        <w:rPr>
          <w:rFonts w:hint="default" w:ascii="宋体" w:hAnsi="宋体" w:eastAsia="宋体"/>
          <w:color w:val="auto"/>
          <w:sz w:val="21"/>
          <w:lang w:val="zh-CN"/>
        </w:rPr>
        <w:t>）具有履行合同所必需设备和专业技术能力的承诺函（格式见附件）；其中，金融、保险、通讯等特定行业的全国性企业所设立的区域性分支机构参与投标的，除承诺函外还需提供总公司（总机构）授权（或出具总公司的有关文件或制度等能够证明总公司授权独立开展业务的证明）或提供房产权证或其他有效财产证明材料；</w:t>
      </w:r>
    </w:p>
    <w:p>
      <w:pPr>
        <w:snapToGrid w:val="0"/>
        <w:spacing w:beforeLines="0" w:afterLines="0" w:line="360" w:lineRule="auto"/>
        <w:ind w:firstLine="420" w:firstLineChars="200"/>
        <w:rPr>
          <w:rFonts w:hint="eastAsia" w:ascii="宋体" w:hAnsi="宋体" w:eastAsia="宋体" w:cs="Times New Roman"/>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val="zh-CN"/>
        </w:rPr>
        <w:t>）</w:t>
      </w:r>
      <w:r>
        <w:rPr>
          <w:rFonts w:hint="eastAsia" w:ascii="宋体" w:hAnsi="宋体" w:eastAsia="宋体" w:cs="Times New Roman"/>
          <w:sz w:val="21"/>
          <w:szCs w:val="21"/>
          <w:lang w:val="zh-CN"/>
        </w:rPr>
        <w:t>落实政府采购政策需满足的资格要求：供应商为中小企业/小微企业或监狱企业或残疾人福利性单位；</w:t>
      </w:r>
    </w:p>
    <w:p>
      <w:pPr>
        <w:autoSpaceDE w:val="0"/>
        <w:autoSpaceDN w:val="0"/>
        <w:adjustRightInd w:val="0"/>
        <w:snapToGrid w:val="0"/>
        <w:spacing w:beforeLines="0" w:afterLines="0" w:line="360" w:lineRule="auto"/>
        <w:ind w:firstLine="480"/>
        <w:rPr>
          <w:rFonts w:hint="eastAsia" w:ascii="宋体" w:hAnsi="宋体" w:eastAsia="宋体" w:cs="Times New Roman"/>
          <w:sz w:val="21"/>
          <w:szCs w:val="21"/>
          <w:lang w:val="zh-CN"/>
        </w:rPr>
      </w:pPr>
      <w:r>
        <w:rPr>
          <w:rFonts w:hint="eastAsia" w:ascii="宋体" w:hAnsi="宋体" w:eastAsia="宋体" w:cs="Times New Roman"/>
          <w:sz w:val="21"/>
          <w:szCs w:val="21"/>
          <w:lang w:val="zh-CN"/>
        </w:rPr>
        <w:t>供应商为中小企业/小微企业须提供《中小企业声明函》或供应商为监狱企业的证明文件或残疾人福利性单位须提供《残疾人福利性单位声明函》。（格式见附件）</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olor w:val="auto"/>
          <w:sz w:val="21"/>
          <w:lang w:val="zh-CN"/>
        </w:rPr>
        <w:t>（</w:t>
      </w:r>
      <w:r>
        <w:rPr>
          <w:rFonts w:hint="eastAsia" w:ascii="宋体" w:hAnsi="宋体" w:eastAsia="宋体"/>
          <w:color w:val="auto"/>
          <w:sz w:val="21"/>
          <w:lang w:val="en-US" w:eastAsia="zh-CN"/>
        </w:rPr>
        <w:t>8</w:t>
      </w:r>
      <w:r>
        <w:rPr>
          <w:rFonts w:hint="eastAsia" w:ascii="宋体" w:hAnsi="宋体" w:eastAsia="宋体"/>
          <w:color w:val="auto"/>
          <w:sz w:val="21"/>
          <w:lang w:val="zh-CN"/>
        </w:rPr>
        <w:t>）</w:t>
      </w:r>
      <w:r>
        <w:rPr>
          <w:rFonts w:hint="default" w:ascii="宋体" w:hAnsi="宋体" w:eastAsia="宋体"/>
          <w:color w:val="auto"/>
          <w:sz w:val="21"/>
          <w:lang w:val="zh-CN"/>
        </w:rPr>
        <w:t>提供采购公告中符合供应商特定条件的有效资质证书复印件（供应商特定条件中有要求的必须提供），以及需要说明的其他资料</w:t>
      </w:r>
      <w:r>
        <w:rPr>
          <w:rFonts w:hint="eastAsia" w:ascii="宋体" w:hAnsi="宋体" w:eastAsia="宋体"/>
          <w:color w:val="auto"/>
          <w:sz w:val="21"/>
          <w:lang w:val="zh-CN"/>
        </w:rPr>
        <w:t>。</w:t>
      </w:r>
    </w:p>
    <w:p>
      <w:pPr>
        <w:tabs>
          <w:tab w:val="left" w:pos="5955"/>
        </w:tabs>
        <w:snapToGrid w:val="0"/>
        <w:spacing w:line="360" w:lineRule="auto"/>
        <w:ind w:firstLine="422" w:firstLineChars="200"/>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商务</w:t>
      </w:r>
      <w:r>
        <w:rPr>
          <w:rFonts w:hint="eastAsia" w:ascii="宋体" w:hAnsi="宋体" w:eastAsia="宋体" w:cs="宋体"/>
          <w:b/>
          <w:color w:val="auto"/>
          <w:sz w:val="21"/>
          <w:szCs w:val="21"/>
          <w:highlight w:val="none"/>
          <w:lang w:eastAsia="zh-CN"/>
        </w:rPr>
        <w:t>与</w:t>
      </w:r>
      <w:r>
        <w:rPr>
          <w:rFonts w:hint="eastAsia" w:ascii="宋体" w:hAnsi="宋体" w:eastAsia="宋体" w:cs="宋体"/>
          <w:b/>
          <w:color w:val="auto"/>
          <w:sz w:val="21"/>
          <w:szCs w:val="21"/>
          <w:highlight w:val="none"/>
        </w:rPr>
        <w:t>技术标的组成：</w:t>
      </w:r>
      <w:r>
        <w:rPr>
          <w:rFonts w:hint="eastAsia" w:ascii="宋体" w:hAnsi="宋体" w:eastAsia="宋体" w:cs="宋体"/>
          <w:b/>
          <w:color w:val="auto"/>
          <w:sz w:val="21"/>
          <w:szCs w:val="21"/>
          <w:highlight w:val="none"/>
          <w:lang w:eastAsia="zh-CN"/>
        </w:rPr>
        <w:tab/>
      </w:r>
    </w:p>
    <w:p>
      <w:pPr>
        <w:pStyle w:val="5"/>
        <w:widowControl/>
        <w:adjustRightInd w:val="0"/>
        <w:snapToGrid w:val="0"/>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投标人基本情况表</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格式见附件</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line="360" w:lineRule="auto"/>
        <w:ind w:firstLine="420" w:firstLineChars="2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商务响应承诺函</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格式见附件</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）项目业绩</w:t>
      </w:r>
      <w:r>
        <w:rPr>
          <w:rFonts w:hint="eastAsia" w:ascii="宋体" w:hAnsi="宋体" w:eastAsia="宋体" w:cs="宋体"/>
          <w:color w:val="000000" w:themeColor="text1"/>
          <w:sz w:val="21"/>
          <w:szCs w:val="21"/>
          <w:highlight w:val="none"/>
          <w:lang w:val="en-US" w:eastAsia="zh-CN"/>
          <w14:textFill>
            <w14:solidFill>
              <w14:schemeClr w14:val="tx1"/>
            </w14:solidFill>
          </w14:textFill>
        </w:rPr>
        <w:t>一览表</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格式见附件</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项目负责人简历表（</w:t>
      </w:r>
      <w:r>
        <w:rPr>
          <w:rFonts w:hint="eastAsia" w:ascii="宋体" w:hAnsi="宋体" w:eastAsia="宋体" w:cs="宋体"/>
          <w:color w:val="000000" w:themeColor="text1"/>
          <w:kern w:val="0"/>
          <w:sz w:val="21"/>
          <w:szCs w:val="21"/>
          <w:lang w:val="zh-CN" w:eastAsia="zh-CN"/>
          <w14:textFill>
            <w14:solidFill>
              <w14:schemeClr w14:val="tx1"/>
            </w14:solidFill>
          </w14:textFill>
        </w:rPr>
        <w:t>格式见附件</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）项目管理班子配备情况</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14:textFill>
            <w14:solidFill>
              <w14:schemeClr w14:val="tx1"/>
            </w14:solidFill>
          </w14:textFill>
        </w:rPr>
        <w:t>格式见附件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kern w:val="0"/>
          <w:sz w:val="21"/>
          <w:szCs w:val="21"/>
          <w:lang w:eastAsia="zh-CN"/>
          <w14:textFill>
            <w14:solidFill>
              <w14:schemeClr w14:val="tx1"/>
            </w14:solidFill>
          </w14:textFill>
        </w:rPr>
        <w:t>拟投入的主要施工设备（</w:t>
      </w:r>
      <w:r>
        <w:rPr>
          <w:rFonts w:hint="eastAsia" w:ascii="宋体" w:hAnsi="宋体" w:eastAsia="宋体" w:cs="宋体"/>
          <w:color w:val="000000" w:themeColor="text1"/>
          <w:sz w:val="21"/>
          <w:szCs w:val="21"/>
          <w:highlight w:val="none"/>
          <w:lang w:val="zh-CN" w:eastAsia="zh-CN"/>
          <w14:textFill>
            <w14:solidFill>
              <w14:schemeClr w14:val="tx1"/>
            </w14:solidFill>
          </w14:textFill>
        </w:rPr>
        <w:t>格式</w:t>
      </w:r>
      <w:r>
        <w:rPr>
          <w:rFonts w:hint="eastAsia" w:ascii="宋体" w:hAnsi="宋体" w:eastAsia="宋体" w:cs="宋体"/>
          <w:color w:val="000000" w:themeColor="text1"/>
          <w:kern w:val="0"/>
          <w:sz w:val="21"/>
          <w:szCs w:val="21"/>
          <w:lang w:eastAsia="zh-CN"/>
          <w14:textFill>
            <w14:solidFill>
              <w14:schemeClr w14:val="tx1"/>
            </w14:solidFill>
          </w14:textFill>
        </w:rPr>
        <w:t>见附件）；</w:t>
      </w:r>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（7）承诺函（承诺函及拟派项目负责人在投标截止日无在其他任何在建合同工程上担任项目负责人的承诺）（</w:t>
      </w:r>
      <w:r>
        <w:rPr>
          <w:rFonts w:hint="eastAsia" w:ascii="宋体" w:hAnsi="宋体" w:eastAsia="宋体" w:cs="宋体"/>
          <w:color w:val="auto"/>
          <w:kern w:val="0"/>
          <w:sz w:val="21"/>
          <w:szCs w:val="21"/>
          <w:highlight w:val="none"/>
          <w:lang w:val="zh-CN" w:eastAsia="zh-CN"/>
        </w:rPr>
        <w:t>格式</w:t>
      </w:r>
      <w:r>
        <w:rPr>
          <w:rFonts w:hint="eastAsia" w:ascii="宋体" w:hAnsi="宋体" w:eastAsia="宋体" w:cs="宋体"/>
          <w:color w:val="auto"/>
          <w:kern w:val="0"/>
          <w:sz w:val="21"/>
          <w:szCs w:val="21"/>
          <w:highlight w:val="none"/>
          <w:lang w:val="en-US" w:eastAsia="zh-CN"/>
        </w:rPr>
        <w:t>见附件）；</w:t>
      </w:r>
    </w:p>
    <w:p>
      <w:pPr>
        <w:pStyle w:val="2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eastAsia="zh-CN"/>
        </w:rPr>
        <w:t>）</w:t>
      </w:r>
      <w:r>
        <w:rPr>
          <w:rFonts w:hint="eastAsia" w:ascii="宋体" w:hAnsi="宋体" w:eastAsia="宋体" w:cs="宋体"/>
          <w:color w:val="auto"/>
          <w:sz w:val="21"/>
          <w:szCs w:val="21"/>
          <w:highlight w:val="none"/>
        </w:rPr>
        <w:t>投标人根据评标办法编制的各项内容</w:t>
      </w:r>
      <w:r>
        <w:rPr>
          <w:rFonts w:hint="eastAsia" w:ascii="宋体" w:hAnsi="宋体" w:eastAsia="宋体" w:cs="宋体"/>
          <w:color w:val="auto"/>
          <w:sz w:val="21"/>
          <w:szCs w:val="21"/>
          <w:highlight w:val="none"/>
          <w:lang w:val="zh-CN"/>
        </w:rPr>
        <w:t>；</w:t>
      </w:r>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lang w:eastAsia="zh-CN"/>
        </w:rPr>
        <w:t>供应商认为需要提供的其他资料（包括可能影响供应商商务与技术标评分的各类证明材料）。</w:t>
      </w:r>
    </w:p>
    <w:p>
      <w:pPr>
        <w:snapToGri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rPr>
        <w:t>报价标的组成：</w:t>
      </w:r>
    </w:p>
    <w:p>
      <w:pPr>
        <w:tabs>
          <w:tab w:val="left" w:pos="3870"/>
          <w:tab w:val="left" w:pos="4085"/>
        </w:tabs>
        <w:snapToGrid w:val="0"/>
        <w:spacing w:beforeLines="0" w:afterLines="0" w:line="360" w:lineRule="auto"/>
        <w:ind w:firstLine="422" w:firstLineChars="200"/>
        <w:jc w:val="left"/>
        <w:rPr>
          <w:rFonts w:hint="eastAsia" w:ascii="宋体" w:hAnsi="宋体" w:eastAsia="宋体"/>
          <w:b/>
          <w:color w:val="auto"/>
          <w:kern w:val="0"/>
          <w:sz w:val="21"/>
        </w:rPr>
      </w:pPr>
      <w:r>
        <w:rPr>
          <w:rFonts w:hint="eastAsia" w:ascii="宋体" w:hAnsi="宋体" w:eastAsia="宋体"/>
          <w:b/>
          <w:color w:val="auto"/>
          <w:kern w:val="0"/>
          <w:sz w:val="21"/>
        </w:rPr>
        <w:t>（1）报价内容由首次报价一览表、</w:t>
      </w:r>
      <w:r>
        <w:rPr>
          <w:rFonts w:hint="eastAsia" w:ascii="宋体" w:hAnsi="宋体" w:eastAsia="宋体"/>
          <w:b/>
          <w:color w:val="auto"/>
          <w:kern w:val="0"/>
          <w:sz w:val="21"/>
          <w:lang w:val="en-US" w:eastAsia="zh-CN"/>
        </w:rPr>
        <w:t>已标价工程量清单（包含附录）</w:t>
      </w:r>
      <w:r>
        <w:rPr>
          <w:rFonts w:hint="eastAsia" w:ascii="宋体" w:hAnsi="宋体" w:eastAsia="宋体"/>
          <w:b/>
          <w:color w:val="auto"/>
          <w:kern w:val="0"/>
          <w:sz w:val="21"/>
        </w:rPr>
        <w:t>以及供应商认为其他需要说明的内容组成。</w:t>
      </w:r>
    </w:p>
    <w:p>
      <w:pPr>
        <w:tabs>
          <w:tab w:val="left" w:pos="3870"/>
          <w:tab w:val="left" w:pos="4085"/>
        </w:tabs>
        <w:snapToGrid w:val="0"/>
        <w:spacing w:beforeLines="0" w:afterLines="0" w:line="360" w:lineRule="auto"/>
        <w:ind w:firstLine="420" w:firstLineChars="200"/>
        <w:jc w:val="left"/>
        <w:rPr>
          <w:rFonts w:hint="eastAsia" w:ascii="宋体" w:hAnsi="宋体" w:eastAsia="宋体"/>
          <w:color w:val="auto"/>
          <w:kern w:val="0"/>
          <w:sz w:val="21"/>
        </w:rPr>
      </w:pPr>
      <w:r>
        <w:rPr>
          <w:rFonts w:hint="eastAsia" w:ascii="宋体" w:hAnsi="宋体" w:eastAsia="宋体"/>
          <w:color w:val="auto"/>
          <w:kern w:val="0"/>
          <w:sz w:val="21"/>
        </w:rPr>
        <w:t>（2）此报价为供应商针对本项目报出的唯一的首次报价，包含其它一切所要涉及到的费用，有选择的报价将被拒绝。</w:t>
      </w:r>
    </w:p>
    <w:p>
      <w:pPr>
        <w:tabs>
          <w:tab w:val="left" w:pos="3870"/>
          <w:tab w:val="left" w:pos="4085"/>
        </w:tabs>
        <w:snapToGrid w:val="0"/>
        <w:spacing w:beforeLines="0" w:afterLines="0" w:line="360" w:lineRule="auto"/>
        <w:ind w:firstLine="420" w:firstLineChars="200"/>
        <w:jc w:val="left"/>
        <w:rPr>
          <w:rFonts w:hint="eastAsia" w:ascii="宋体" w:hAnsi="宋体" w:eastAsia="宋体"/>
          <w:color w:val="auto"/>
          <w:kern w:val="0"/>
          <w:sz w:val="21"/>
        </w:rPr>
      </w:pPr>
      <w:r>
        <w:rPr>
          <w:rFonts w:hint="eastAsia" w:ascii="宋体" w:hAnsi="宋体" w:eastAsia="宋体"/>
          <w:color w:val="auto"/>
          <w:kern w:val="0"/>
          <w:sz w:val="21"/>
        </w:rPr>
        <w:t>（3）此报价应当包括项目实施所需的</w:t>
      </w:r>
      <w:r>
        <w:rPr>
          <w:rFonts w:hint="eastAsia" w:ascii="宋体" w:hAnsi="宋体" w:eastAsia="宋体"/>
          <w:color w:val="auto"/>
          <w:kern w:val="0"/>
          <w:sz w:val="21"/>
          <w:lang w:eastAsia="zh-CN"/>
        </w:rPr>
        <w:t>包含所有一切人员工资、各种加班费、节假日补贴、各种社会保险、安全保险、食宿与交通、材料费、机械费、人工费、辅助材料费、建筑垃圾清运费、保险费、管理费、规费以及所有税收、利润、总承包服务费、采购代理服务费等</w:t>
      </w:r>
      <w:r>
        <w:rPr>
          <w:rFonts w:hint="eastAsia" w:ascii="宋体" w:hAnsi="宋体" w:eastAsia="宋体"/>
          <w:color w:val="auto"/>
          <w:kern w:val="0"/>
          <w:sz w:val="21"/>
        </w:rPr>
        <w:t>、政策性文件规定及合同包含的所有风险责任等一切费用等完成合同所需的一切本身和不可或缺的所有工作开支、政策性文件规定及合同包含的所有风险、责任等各项全部费用并承担一切风险责任。</w:t>
      </w:r>
    </w:p>
    <w:p>
      <w:pPr>
        <w:snapToGrid w:val="0"/>
        <w:spacing w:beforeLines="0" w:afterLines="0" w:line="360" w:lineRule="auto"/>
        <w:ind w:firstLine="420" w:firstLineChars="200"/>
        <w:jc w:val="left"/>
        <w:rPr>
          <w:rFonts w:hint="eastAsia" w:ascii="宋体" w:hAnsi="宋体" w:eastAsia="宋体"/>
          <w:color w:val="000000"/>
          <w:kern w:val="0"/>
          <w:sz w:val="21"/>
        </w:rPr>
      </w:pPr>
      <w:r>
        <w:rPr>
          <w:rFonts w:hint="eastAsia" w:ascii="宋体" w:hAnsi="宋体" w:eastAsia="宋体"/>
          <w:color w:val="000000"/>
          <w:kern w:val="0"/>
          <w:sz w:val="21"/>
        </w:rPr>
        <w:t>（4）</w:t>
      </w:r>
      <w:r>
        <w:rPr>
          <w:rFonts w:hint="eastAsia" w:ascii="宋体" w:hAnsi="宋体" w:cs="宋体"/>
          <w:color w:val="000000"/>
          <w:kern w:val="0"/>
          <w:sz w:val="21"/>
        </w:rPr>
        <w:t>相关报价表需打印或用不褪色的墨水填写，磋商响应报价表不得涂改和增删，如有错漏必须修改，修改处须由同一签署人签字或盖章。由于字迹模糊或表达不清引起的后果由供应商负责</w:t>
      </w:r>
      <w:r>
        <w:rPr>
          <w:rFonts w:hint="eastAsia" w:ascii="宋体" w:hAnsi="宋体" w:eastAsia="宋体"/>
          <w:color w:val="000000"/>
          <w:kern w:val="0"/>
          <w:sz w:val="21"/>
        </w:rPr>
        <w:t>。</w:t>
      </w:r>
    </w:p>
    <w:p>
      <w:pPr>
        <w:snapToGrid w:val="0"/>
        <w:spacing w:beforeLines="0" w:afterLines="0" w:line="360" w:lineRule="auto"/>
        <w:ind w:firstLine="420" w:firstLineChars="200"/>
        <w:jc w:val="left"/>
        <w:rPr>
          <w:rFonts w:hint="eastAsia" w:ascii="宋体" w:hAnsi="宋体" w:eastAsia="宋体"/>
          <w:color w:val="auto"/>
          <w:sz w:val="21"/>
        </w:rPr>
      </w:pPr>
      <w:r>
        <w:rPr>
          <w:rFonts w:hint="eastAsia" w:ascii="宋体" w:hAnsi="宋体" w:eastAsia="宋体"/>
          <w:color w:val="auto"/>
          <w:kern w:val="0"/>
          <w:sz w:val="21"/>
        </w:rPr>
        <w:t>（</w:t>
      </w:r>
      <w:r>
        <w:rPr>
          <w:rFonts w:hint="eastAsia" w:ascii="宋体" w:hAnsi="宋体" w:eastAsia="宋体"/>
          <w:color w:val="auto"/>
          <w:kern w:val="0"/>
          <w:sz w:val="21"/>
          <w:lang w:val="en-US" w:eastAsia="zh-CN"/>
        </w:rPr>
        <w:t>5</w:t>
      </w:r>
      <w:r>
        <w:rPr>
          <w:rFonts w:hint="eastAsia" w:ascii="宋体" w:hAnsi="宋体" w:eastAsia="宋体"/>
          <w:color w:val="auto"/>
          <w:kern w:val="0"/>
          <w:sz w:val="21"/>
        </w:rPr>
        <w:t>）报价有关表格应按磋商采购文件中相关附表格式填写。</w:t>
      </w:r>
    </w:p>
    <w:p>
      <w:pPr>
        <w:numPr>
          <w:ilvl w:val="0"/>
          <w:numId w:val="0"/>
        </w:numPr>
        <w:snapToGrid w:val="0"/>
        <w:spacing w:beforeLines="0" w:afterLines="0" w:line="360" w:lineRule="auto"/>
        <w:ind w:left="480" w:leftChars="0"/>
        <w:rPr>
          <w:rFonts w:hint="eastAsia" w:ascii="宋体" w:hAnsi="宋体" w:eastAsia="宋体"/>
          <w:color w:val="auto"/>
          <w:sz w:val="21"/>
          <w:lang w:val="zh-CN"/>
        </w:rPr>
      </w:pPr>
      <w:r>
        <w:rPr>
          <w:rFonts w:hint="eastAsia" w:ascii="宋体" w:hAnsi="宋体" w:eastAsia="宋体"/>
          <w:b/>
          <w:color w:val="auto"/>
          <w:kern w:val="0"/>
          <w:sz w:val="21"/>
          <w:lang w:val="en-US" w:eastAsia="zh-CN"/>
        </w:rPr>
        <w:t>（二）、</w:t>
      </w:r>
      <w:r>
        <w:rPr>
          <w:rFonts w:hint="eastAsia" w:ascii="宋体" w:hAnsi="宋体" w:eastAsia="宋体"/>
          <w:b/>
          <w:color w:val="auto"/>
          <w:kern w:val="0"/>
          <w:sz w:val="21"/>
        </w:rPr>
        <w:t>磋商响应文件的制作、</w:t>
      </w:r>
      <w:r>
        <w:rPr>
          <w:rFonts w:hint="eastAsia" w:ascii="宋体" w:hAnsi="宋体" w:eastAsia="宋体"/>
          <w:b/>
          <w:color w:val="auto"/>
          <w:kern w:val="0"/>
          <w:sz w:val="21"/>
          <w:lang w:eastAsia="zh-CN"/>
        </w:rPr>
        <w:t>份数</w:t>
      </w:r>
      <w:r>
        <w:rPr>
          <w:rFonts w:hint="eastAsia" w:ascii="宋体" w:hAnsi="宋体" w:eastAsia="宋体"/>
          <w:b/>
          <w:color w:val="auto"/>
          <w:kern w:val="0"/>
          <w:sz w:val="21"/>
        </w:rPr>
        <w:t>及递交要求</w:t>
      </w:r>
    </w:p>
    <w:p>
      <w:pPr>
        <w:autoSpaceDE w:val="0"/>
        <w:autoSpaceDN w:val="0"/>
        <w:adjustRightInd w:val="0"/>
        <w:snapToGrid w:val="0"/>
        <w:spacing w:beforeLines="0" w:afterLines="0" w:line="360" w:lineRule="auto"/>
        <w:ind w:firstLine="480"/>
        <w:rPr>
          <w:rFonts w:hint="eastAsia" w:ascii="宋体" w:hAnsi="宋体" w:eastAsia="宋体"/>
          <w:b/>
          <w:color w:val="auto"/>
          <w:sz w:val="21"/>
        </w:rPr>
      </w:pPr>
      <w:r>
        <w:rPr>
          <w:rFonts w:hint="eastAsia" w:ascii="宋体" w:hAnsi="宋体" w:eastAsia="宋体"/>
          <w:b/>
          <w:color w:val="auto"/>
          <w:sz w:val="21"/>
          <w:lang w:val="en-US" w:eastAsia="zh-CN"/>
        </w:rPr>
        <w:t>1</w:t>
      </w:r>
      <w:r>
        <w:rPr>
          <w:rFonts w:hint="eastAsia" w:ascii="宋体" w:hAnsi="宋体" w:eastAsia="宋体"/>
          <w:b/>
          <w:color w:val="auto"/>
          <w:sz w:val="21"/>
        </w:rPr>
        <w:t>、磋商响应文件的制作要求</w:t>
      </w:r>
    </w:p>
    <w:p>
      <w:pPr>
        <w:autoSpaceDE w:val="0"/>
        <w:autoSpaceDN w:val="0"/>
        <w:adjustRightInd w:val="0"/>
        <w:snapToGrid w:val="0"/>
        <w:spacing w:beforeLines="0" w:afterLines="0" w:line="360" w:lineRule="auto"/>
        <w:ind w:firstLine="480"/>
        <w:rPr>
          <w:rFonts w:hint="eastAsia" w:ascii="宋体" w:hAnsi="宋体" w:eastAsia="宋体"/>
          <w:color w:val="auto"/>
          <w:kern w:val="0"/>
          <w:sz w:val="21"/>
        </w:rPr>
      </w:pPr>
      <w:r>
        <w:rPr>
          <w:rFonts w:hint="eastAsia" w:ascii="宋体" w:hAnsi="宋体" w:eastAsia="宋体"/>
          <w:color w:val="auto"/>
          <w:sz w:val="21"/>
        </w:rPr>
        <w:t>（1）供应商应按照磋商响应文件组成内容及项目磋商需求</w:t>
      </w:r>
      <w:r>
        <w:rPr>
          <w:rFonts w:hint="eastAsia" w:ascii="宋体" w:hAnsi="宋体" w:eastAsia="宋体"/>
          <w:color w:val="auto"/>
          <w:sz w:val="21"/>
          <w:lang w:eastAsia="zh-CN"/>
        </w:rPr>
        <w:t>和浙江政府采购云平台要求</w:t>
      </w:r>
      <w:r>
        <w:rPr>
          <w:rFonts w:hint="eastAsia" w:ascii="宋体" w:hAnsi="宋体" w:eastAsia="宋体"/>
          <w:color w:val="auto"/>
          <w:sz w:val="21"/>
        </w:rPr>
        <w:t>制作制作磋商响应文件，</w:t>
      </w:r>
      <w:r>
        <w:rPr>
          <w:rFonts w:hint="eastAsia" w:ascii="宋体" w:hAnsi="宋体" w:eastAsia="宋体"/>
          <w:color w:val="auto"/>
          <w:kern w:val="0"/>
          <w:sz w:val="21"/>
        </w:rPr>
        <w:t>不按</w:t>
      </w:r>
      <w:r>
        <w:rPr>
          <w:rFonts w:hint="eastAsia" w:ascii="宋体" w:hAnsi="宋体" w:eastAsia="宋体"/>
          <w:color w:val="auto"/>
          <w:sz w:val="21"/>
        </w:rPr>
        <w:t>磋商采购文件</w:t>
      </w:r>
      <w:r>
        <w:rPr>
          <w:rFonts w:hint="eastAsia" w:ascii="宋体" w:hAnsi="宋体" w:eastAsia="宋体"/>
          <w:color w:val="auto"/>
          <w:kern w:val="0"/>
          <w:sz w:val="21"/>
        </w:rPr>
        <w:t>要求</w:t>
      </w:r>
      <w:r>
        <w:rPr>
          <w:rFonts w:hint="eastAsia" w:ascii="宋体" w:hAnsi="宋体" w:eastAsia="宋体"/>
          <w:color w:val="auto"/>
          <w:kern w:val="0"/>
          <w:sz w:val="21"/>
          <w:lang w:eastAsia="zh-CN"/>
        </w:rPr>
        <w:t>和浙江政府采购云平台要求</w:t>
      </w:r>
      <w:r>
        <w:rPr>
          <w:rFonts w:hint="eastAsia" w:ascii="宋体" w:hAnsi="宋体" w:eastAsia="宋体"/>
          <w:color w:val="auto"/>
          <w:kern w:val="0"/>
          <w:sz w:val="21"/>
        </w:rPr>
        <w:t>制作</w:t>
      </w:r>
      <w:r>
        <w:rPr>
          <w:rFonts w:hint="eastAsia" w:ascii="宋体" w:hAnsi="宋体" w:eastAsia="宋体"/>
          <w:color w:val="auto"/>
          <w:sz w:val="21"/>
        </w:rPr>
        <w:t>磋商响应文件</w:t>
      </w:r>
      <w:r>
        <w:rPr>
          <w:rFonts w:hint="eastAsia" w:ascii="宋体" w:hAnsi="宋体" w:eastAsia="宋体"/>
          <w:color w:val="auto"/>
          <w:kern w:val="0"/>
          <w:sz w:val="21"/>
        </w:rPr>
        <w:t>的将视情处理（拒收、扣分等），由此产生的责任由</w:t>
      </w:r>
      <w:r>
        <w:rPr>
          <w:rFonts w:hint="eastAsia" w:ascii="宋体" w:hAnsi="宋体" w:eastAsia="宋体"/>
          <w:color w:val="auto"/>
          <w:sz w:val="21"/>
        </w:rPr>
        <w:t>磋商供应商</w:t>
      </w:r>
      <w:r>
        <w:rPr>
          <w:rFonts w:hint="eastAsia" w:ascii="宋体" w:hAnsi="宋体" w:eastAsia="宋体"/>
          <w:color w:val="auto"/>
          <w:kern w:val="0"/>
          <w:sz w:val="21"/>
        </w:rPr>
        <w:t>自行承担。</w:t>
      </w:r>
    </w:p>
    <w:p>
      <w:pPr>
        <w:snapToGrid w:val="0"/>
        <w:spacing w:line="360" w:lineRule="auto"/>
        <w:ind w:firstLine="420" w:firstLineChars="200"/>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电子</w:t>
      </w:r>
      <w:r>
        <w:rPr>
          <w:rFonts w:hint="eastAsia" w:ascii="宋体" w:hAnsi="宋体" w:cs="宋体"/>
          <w:b/>
          <w:bCs/>
          <w:color w:val="auto"/>
          <w:sz w:val="21"/>
          <w:szCs w:val="21"/>
          <w:lang w:val="en-US" w:eastAsia="zh-CN"/>
        </w:rPr>
        <w:t>加密响应</w:t>
      </w:r>
      <w:r>
        <w:rPr>
          <w:rFonts w:hint="eastAsia" w:ascii="宋体" w:hAnsi="宋体" w:cs="宋体"/>
          <w:b/>
          <w:bCs/>
          <w:color w:val="auto"/>
          <w:sz w:val="21"/>
          <w:szCs w:val="21"/>
          <w:lang w:eastAsia="zh-CN"/>
        </w:rPr>
        <w:t>文件部分：供应商应根据“</w:t>
      </w:r>
      <w:r>
        <w:rPr>
          <w:rFonts w:hint="eastAsia" w:ascii="宋体" w:hAnsi="宋体" w:cs="宋体"/>
          <w:b/>
          <w:bCs/>
          <w:color w:val="auto"/>
          <w:sz w:val="21"/>
          <w:szCs w:val="21"/>
          <w:highlight w:val="none"/>
          <w:lang w:eastAsia="zh-CN"/>
        </w:rPr>
        <w:t>供应商-政府采购项目电子交易操作指南”及本磋商响应文件规定的格式和顺序编制电子磋商响应文件并进行关联定位。</w:t>
      </w:r>
    </w:p>
    <w:p>
      <w:pPr>
        <w:snapToGrid w:val="0"/>
        <w:spacing w:line="360" w:lineRule="auto"/>
        <w:ind w:firstLine="420" w:firstLineChars="200"/>
        <w:rPr>
          <w:rFonts w:hint="eastAsia"/>
          <w:color w:val="auto"/>
          <w:sz w:val="21"/>
          <w:szCs w:val="21"/>
        </w:rPr>
      </w:pPr>
      <w:r>
        <w:rPr>
          <w:rFonts w:hint="eastAsia" w:ascii="宋体" w:hAnsi="宋体" w:cs="宋体"/>
          <w:b/>
          <w:bCs/>
          <w:color w:val="auto"/>
          <w:sz w:val="21"/>
          <w:szCs w:val="21"/>
          <w:lang w:eastAsia="zh-CN"/>
        </w:rPr>
        <w:t>备份响应文件应与政采云平台上传的电子加密响应文件一致。</w:t>
      </w:r>
    </w:p>
    <w:p>
      <w:pPr>
        <w:autoSpaceDE w:val="0"/>
        <w:autoSpaceDN w:val="0"/>
        <w:adjustRightInd w:val="0"/>
        <w:snapToGrid w:val="0"/>
        <w:spacing w:beforeLines="0" w:afterLines="0" w:line="360" w:lineRule="auto"/>
        <w:ind w:firstLine="480" w:firstLineChars="200"/>
        <w:rPr>
          <w:rFonts w:hint="eastAsia" w:ascii="宋体" w:hAnsi="宋体" w:eastAsia="宋体"/>
          <w:kern w:val="0"/>
          <w:sz w:val="21"/>
          <w:lang w:val="zh-CN"/>
        </w:rPr>
      </w:pPr>
      <w:r>
        <w:rPr>
          <w:rFonts w:hint="eastAsia" w:ascii="宋体" w:hAnsi="宋体" w:cs="宋体"/>
          <w:bCs/>
          <w:color w:val="auto"/>
          <w:sz w:val="24"/>
        </w:rPr>
        <w:t>▲</w:t>
      </w:r>
      <w:r>
        <w:rPr>
          <w:rFonts w:hint="eastAsia" w:ascii="宋体" w:hAnsi="宋体" w:eastAsia="宋体"/>
          <w:color w:val="000000"/>
          <w:sz w:val="21"/>
        </w:rPr>
        <w:t>（2）</w:t>
      </w:r>
      <w:r>
        <w:rPr>
          <w:rFonts w:hint="eastAsia" w:ascii="宋体" w:hAnsi="宋体" w:cs="宋体"/>
          <w:color w:val="auto"/>
          <w:sz w:val="21"/>
          <w:szCs w:val="21"/>
        </w:rPr>
        <w:t>供应商应对所提供的全部资料的真实性承担法律责任，</w:t>
      </w:r>
      <w:r>
        <w:rPr>
          <w:rFonts w:hint="eastAsia" w:ascii="宋体" w:hAnsi="宋体" w:cs="宋体"/>
          <w:color w:val="000000"/>
          <w:sz w:val="21"/>
        </w:rPr>
        <w:t>磋商响应文件</w:t>
      </w:r>
      <w:r>
        <w:rPr>
          <w:rFonts w:hint="eastAsia" w:ascii="宋体" w:hAnsi="宋体" w:cs="宋体"/>
          <w:kern w:val="0"/>
          <w:sz w:val="21"/>
          <w:lang w:val="zh-CN"/>
        </w:rPr>
        <w:t>内容中</w:t>
      </w:r>
      <w:r>
        <w:rPr>
          <w:rFonts w:hint="eastAsia" w:ascii="宋体" w:hAnsi="宋体" w:cs="宋体"/>
          <w:color w:val="auto"/>
          <w:sz w:val="21"/>
          <w:szCs w:val="21"/>
        </w:rPr>
        <w:t>有要求盖章的地方，必须采用CA签章进行盖章</w:t>
      </w:r>
      <w:r>
        <w:rPr>
          <w:rFonts w:hint="eastAsia" w:ascii="宋体" w:hAnsi="宋体" w:cs="宋体"/>
          <w:color w:val="auto"/>
          <w:sz w:val="21"/>
          <w:szCs w:val="21"/>
          <w:lang w:eastAsia="zh-CN"/>
        </w:rPr>
        <w:t>，</w:t>
      </w:r>
      <w:r>
        <w:rPr>
          <w:rFonts w:hint="eastAsia" w:ascii="宋体" w:hAnsi="宋体" w:eastAsia="宋体"/>
          <w:color w:val="auto"/>
          <w:kern w:val="0"/>
          <w:sz w:val="21"/>
          <w:lang w:val="zh-CN"/>
        </w:rPr>
        <w:t>法定代表人或全权代表的盖章或签字</w:t>
      </w:r>
      <w:r>
        <w:rPr>
          <w:rFonts w:hint="eastAsia" w:ascii="宋体" w:hAnsi="宋体" w:cs="宋体"/>
          <w:color w:val="auto"/>
          <w:sz w:val="21"/>
          <w:szCs w:val="21"/>
        </w:rPr>
        <w:t>必须采用</w:t>
      </w:r>
      <w:r>
        <w:rPr>
          <w:rFonts w:hint="eastAsia" w:ascii="宋体" w:hAnsi="宋体" w:eastAsia="宋体"/>
          <w:color w:val="auto"/>
          <w:kern w:val="0"/>
          <w:sz w:val="21"/>
          <w:lang w:val="zh-CN"/>
        </w:rPr>
        <w:t>CA电子签章</w:t>
      </w:r>
      <w:r>
        <w:rPr>
          <w:rFonts w:hint="eastAsia" w:ascii="宋体" w:hAnsi="宋体" w:eastAsia="宋体"/>
          <w:color w:val="auto"/>
          <w:kern w:val="0"/>
          <w:sz w:val="21"/>
          <w:lang w:val="zh-CN" w:eastAsia="zh-CN"/>
        </w:rPr>
        <w:t>或签字，</w:t>
      </w:r>
      <w:r>
        <w:rPr>
          <w:rFonts w:hint="eastAsia" w:ascii="宋体" w:hAnsi="宋体" w:eastAsia="宋体"/>
          <w:color w:val="auto"/>
          <w:kern w:val="0"/>
          <w:sz w:val="21"/>
          <w:lang w:val="zh-CN"/>
        </w:rPr>
        <w:t>其中</w:t>
      </w:r>
      <w:r>
        <w:rPr>
          <w:rFonts w:hint="eastAsia" w:ascii="宋体" w:hAnsi="宋体" w:eastAsia="宋体"/>
          <w:color w:val="auto"/>
          <w:sz w:val="21"/>
        </w:rPr>
        <w:t>所有证书类文件提供的复印件</w:t>
      </w:r>
      <w:r>
        <w:rPr>
          <w:rFonts w:hint="eastAsia" w:ascii="宋体" w:hAnsi="宋体" w:eastAsia="宋体"/>
          <w:color w:val="auto"/>
          <w:kern w:val="0"/>
          <w:sz w:val="21"/>
        </w:rPr>
        <w:t>必须全部加盖CA电子公章且</w:t>
      </w:r>
      <w:r>
        <w:rPr>
          <w:rFonts w:hint="eastAsia" w:ascii="宋体" w:hAnsi="宋体" w:eastAsia="宋体"/>
          <w:color w:val="auto"/>
          <w:sz w:val="21"/>
        </w:rPr>
        <w:t>必须在有效期内的</w:t>
      </w:r>
      <w:r>
        <w:rPr>
          <w:rFonts w:hint="eastAsia" w:ascii="宋体" w:hAnsi="宋体" w:eastAsia="宋体"/>
          <w:sz w:val="21"/>
        </w:rPr>
        <w:t>。</w:t>
      </w:r>
    </w:p>
    <w:p>
      <w:pPr>
        <w:snapToGrid w:val="0"/>
        <w:spacing w:beforeLines="0" w:afterLines="0" w:line="360" w:lineRule="auto"/>
        <w:ind w:firstLine="420" w:firstLineChars="200"/>
        <w:jc w:val="left"/>
        <w:rPr>
          <w:rFonts w:hint="eastAsia" w:ascii="宋体" w:hAnsi="宋体" w:eastAsia="宋体"/>
          <w:color w:val="000000"/>
          <w:sz w:val="21"/>
        </w:rPr>
      </w:pPr>
      <w:r>
        <w:rPr>
          <w:rFonts w:hint="eastAsia" w:ascii="宋体" w:hAnsi="宋体" w:eastAsia="宋体"/>
          <w:kern w:val="0"/>
          <w:sz w:val="21"/>
          <w:lang w:val="zh-CN"/>
        </w:rPr>
        <w:t>（</w:t>
      </w:r>
      <w:r>
        <w:rPr>
          <w:rFonts w:hint="eastAsia" w:ascii="宋体" w:hAnsi="宋体" w:eastAsia="宋体"/>
          <w:kern w:val="0"/>
          <w:sz w:val="21"/>
        </w:rPr>
        <w:t>3</w:t>
      </w:r>
      <w:r>
        <w:rPr>
          <w:rFonts w:hint="eastAsia" w:ascii="宋体" w:hAnsi="宋体" w:eastAsia="宋体"/>
          <w:kern w:val="0"/>
          <w:sz w:val="21"/>
          <w:lang w:val="zh-CN"/>
        </w:rPr>
        <w:t>）</w:t>
      </w:r>
      <w:r>
        <w:rPr>
          <w:rFonts w:hint="eastAsia" w:ascii="宋体" w:hAnsi="宋体" w:eastAsia="宋体"/>
          <w:sz w:val="21"/>
        </w:rPr>
        <w:t>磋商响应文件以及磋商供应商与采购组织机构就有关磋商</w:t>
      </w:r>
      <w:r>
        <w:rPr>
          <w:rFonts w:hint="eastAsia" w:ascii="宋体" w:hAnsi="宋体" w:eastAsia="宋体"/>
          <w:color w:val="000000"/>
          <w:sz w:val="21"/>
        </w:rPr>
        <w:t>事宜的所有来往函电，均应以中文汉语书写。除签字、盖章、专用名称等特殊情形外，以中文汉语以外的文字表述的磋商响应文件视同未提供。</w:t>
      </w:r>
    </w:p>
    <w:p>
      <w:pPr>
        <w:snapToGrid w:val="0"/>
        <w:spacing w:beforeLines="0" w:afterLines="0" w:line="360" w:lineRule="auto"/>
        <w:ind w:firstLine="420" w:firstLineChars="200"/>
        <w:jc w:val="left"/>
        <w:rPr>
          <w:rFonts w:hint="eastAsia" w:ascii="宋体" w:hAnsi="宋体" w:eastAsia="宋体"/>
          <w:color w:val="000000"/>
          <w:sz w:val="21"/>
        </w:rPr>
      </w:pPr>
      <w:r>
        <w:rPr>
          <w:rFonts w:hint="eastAsia" w:ascii="宋体" w:hAnsi="宋体" w:eastAsia="宋体"/>
          <w:color w:val="000000"/>
          <w:sz w:val="21"/>
        </w:rPr>
        <w:t>（4）磋商计量单位，</w:t>
      </w:r>
      <w:r>
        <w:rPr>
          <w:rFonts w:hint="eastAsia" w:ascii="宋体" w:hAnsi="宋体" w:eastAsia="宋体"/>
          <w:sz w:val="21"/>
        </w:rPr>
        <w:t>磋商采购文件</w:t>
      </w:r>
      <w:r>
        <w:rPr>
          <w:rFonts w:hint="eastAsia" w:ascii="宋体" w:hAnsi="宋体" w:eastAsia="宋体"/>
          <w:color w:val="000000"/>
          <w:sz w:val="21"/>
        </w:rPr>
        <w:t>已有明确规定的，使用</w:t>
      </w:r>
      <w:r>
        <w:rPr>
          <w:rFonts w:hint="eastAsia" w:ascii="宋体" w:hAnsi="宋体" w:eastAsia="宋体"/>
          <w:sz w:val="21"/>
        </w:rPr>
        <w:t>磋商采购文件</w:t>
      </w:r>
      <w:r>
        <w:rPr>
          <w:rFonts w:hint="eastAsia" w:ascii="宋体" w:hAnsi="宋体" w:eastAsia="宋体"/>
          <w:color w:val="000000"/>
          <w:sz w:val="21"/>
        </w:rPr>
        <w:t>规定的计量单位；</w:t>
      </w:r>
      <w:r>
        <w:rPr>
          <w:rFonts w:hint="eastAsia" w:ascii="宋体" w:hAnsi="宋体" w:eastAsia="宋体"/>
          <w:sz w:val="21"/>
        </w:rPr>
        <w:t>磋商采购文件</w:t>
      </w:r>
      <w:r>
        <w:rPr>
          <w:rFonts w:hint="eastAsia" w:ascii="宋体" w:hAnsi="宋体" w:eastAsia="宋体"/>
          <w:color w:val="000000"/>
          <w:sz w:val="21"/>
        </w:rPr>
        <w:t>没有规定的，应采用中华人民共和国法定计量单位（货币单位：人民币元），否则视同未响应。</w:t>
      </w:r>
    </w:p>
    <w:p>
      <w:pPr>
        <w:autoSpaceDE w:val="0"/>
        <w:autoSpaceDN w:val="0"/>
        <w:adjustRightInd w:val="0"/>
        <w:snapToGrid w:val="0"/>
        <w:spacing w:beforeLines="0" w:afterLines="0" w:line="360" w:lineRule="auto"/>
        <w:ind w:firstLine="480"/>
        <w:rPr>
          <w:rFonts w:hint="eastAsia" w:ascii="宋体" w:hAnsi="宋体" w:eastAsia="宋体"/>
          <w:color w:val="000000"/>
          <w:sz w:val="21"/>
        </w:rPr>
      </w:pPr>
      <w:r>
        <w:rPr>
          <w:rFonts w:hint="eastAsia" w:ascii="宋体" w:hAnsi="宋体" w:eastAsia="宋体"/>
          <w:color w:val="000000"/>
          <w:sz w:val="21"/>
        </w:rPr>
        <w:t>（5）若磋商供应商不按采购文件的要求提供资格审查材料，其风险由磋商供应商自行承担。</w:t>
      </w:r>
    </w:p>
    <w:p>
      <w:pPr>
        <w:autoSpaceDE w:val="0"/>
        <w:autoSpaceDN w:val="0"/>
        <w:adjustRightInd w:val="0"/>
        <w:snapToGrid w:val="0"/>
        <w:spacing w:beforeLines="0" w:afterLines="0" w:line="360" w:lineRule="auto"/>
        <w:ind w:firstLine="480"/>
        <w:rPr>
          <w:rFonts w:hint="eastAsia" w:eastAsia="宋体"/>
          <w:lang w:eastAsia="zh-CN"/>
        </w:rPr>
      </w:pPr>
      <w:r>
        <w:rPr>
          <w:rFonts w:hint="eastAsia" w:ascii="宋体" w:hAnsi="宋体" w:eastAsia="宋体"/>
          <w:color w:val="000000"/>
          <w:kern w:val="0"/>
          <w:sz w:val="21"/>
        </w:rPr>
        <w:t>（6）</w:t>
      </w:r>
      <w:r>
        <w:rPr>
          <w:rFonts w:hint="eastAsia" w:ascii="宋体" w:hAnsi="宋体" w:eastAsia="宋体"/>
          <w:color w:val="000000"/>
          <w:sz w:val="21"/>
        </w:rPr>
        <w:t>与本次磋商无关的内容请不要制作在内，确保磋商响应文件有针对性、简洁明了。</w:t>
      </w:r>
    </w:p>
    <w:p>
      <w:pPr>
        <w:autoSpaceDE w:val="0"/>
        <w:autoSpaceDN w:val="0"/>
        <w:adjustRightInd w:val="0"/>
        <w:snapToGrid w:val="0"/>
        <w:spacing w:beforeLines="0" w:afterLines="0" w:line="360" w:lineRule="auto"/>
        <w:ind w:firstLine="416" w:firstLineChars="198"/>
        <w:rPr>
          <w:rFonts w:hint="eastAsia" w:ascii="宋体" w:hAnsi="宋体"/>
          <w:b/>
          <w:color w:val="auto"/>
          <w:sz w:val="21"/>
        </w:rPr>
      </w:pPr>
      <w:r>
        <w:rPr>
          <w:rFonts w:hint="eastAsia" w:ascii="宋体" w:hAnsi="宋体"/>
          <w:b/>
          <w:color w:val="auto"/>
          <w:sz w:val="21"/>
        </w:rPr>
        <w:t>2、磋商响应文件份数：</w:t>
      </w:r>
    </w:p>
    <w:p>
      <w:pPr>
        <w:autoSpaceDE w:val="0"/>
        <w:autoSpaceDN w:val="0"/>
        <w:adjustRightInd w:val="0"/>
        <w:snapToGrid w:val="0"/>
        <w:spacing w:beforeLines="0" w:afterLines="0" w:line="360" w:lineRule="auto"/>
        <w:ind w:firstLine="416" w:firstLineChars="198"/>
        <w:rPr>
          <w:rFonts w:hint="eastAsia" w:ascii="宋体" w:hAnsi="宋体"/>
          <w:b/>
          <w:color w:val="FF0000"/>
          <w:sz w:val="21"/>
          <w:lang w:val="en-US" w:eastAsia="zh-CN"/>
        </w:rPr>
      </w:pPr>
      <w:r>
        <w:rPr>
          <w:rFonts w:hint="eastAsia" w:ascii="宋体" w:hAnsi="宋体"/>
          <w:b/>
          <w:color w:val="FF0000"/>
          <w:sz w:val="21"/>
          <w:lang w:val="en-US" w:eastAsia="zh-CN"/>
        </w:rPr>
        <w:t>（1）电子加密响应文件一份：通过政采云平台电子投标工具（政采云电子投标客户端）生成的，一份为加密标书。</w:t>
      </w:r>
    </w:p>
    <w:p>
      <w:pPr>
        <w:autoSpaceDE w:val="0"/>
        <w:autoSpaceDN w:val="0"/>
        <w:adjustRightInd w:val="0"/>
        <w:snapToGrid w:val="0"/>
        <w:spacing w:beforeLines="0" w:afterLines="0" w:line="360" w:lineRule="auto"/>
        <w:ind w:firstLine="416" w:firstLineChars="198"/>
        <w:rPr>
          <w:rFonts w:hint="eastAsia" w:ascii="宋体" w:hAnsi="宋体" w:cs="Times New Roman"/>
          <w:b/>
          <w:color w:val="FF0000"/>
          <w:sz w:val="21"/>
          <w:lang w:val="en-US" w:eastAsia="zh-CN"/>
        </w:rPr>
      </w:pPr>
      <w:r>
        <w:rPr>
          <w:rFonts w:hint="eastAsia" w:ascii="宋体" w:hAnsi="宋体"/>
          <w:b/>
          <w:color w:val="FF0000"/>
          <w:sz w:val="21"/>
          <w:lang w:val="en-US" w:eastAsia="zh-CN"/>
        </w:rPr>
        <w:t>（2）备份响应文件：</w:t>
      </w:r>
      <w:r>
        <w:rPr>
          <w:rFonts w:hint="eastAsia" w:ascii="宋体" w:hAnsi="宋体" w:cs="Times New Roman"/>
          <w:b/>
          <w:color w:val="FF0000"/>
          <w:sz w:val="21"/>
          <w:lang w:val="en-US" w:eastAsia="zh-CN"/>
        </w:rPr>
        <w:t>政采云平台上最后生成的具备电子签章的备份响应文件，文件名后缀为备份标书四字的首字母）。</w:t>
      </w:r>
      <w:r>
        <w:rPr>
          <w:rFonts w:hint="eastAsia" w:ascii="宋体" w:hAnsi="宋体" w:cs="Times New Roman"/>
          <w:b/>
          <w:color w:val="FF0000"/>
          <w:sz w:val="21"/>
          <w:lang w:val="en-US" w:eastAsia="zh-CN"/>
        </w:rPr>
        <w:fldChar w:fldCharType="begin"/>
      </w:r>
      <w:r>
        <w:rPr>
          <w:rFonts w:hint="eastAsia" w:ascii="宋体" w:hAnsi="宋体" w:cs="Times New Roman"/>
          <w:b/>
          <w:color w:val="FF0000"/>
          <w:sz w:val="21"/>
          <w:lang w:val="en-US" w:eastAsia="zh-CN"/>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Times New Roman"/>
          <w:b/>
          <w:color w:val="FF0000"/>
          <w:sz w:val="21"/>
          <w:lang w:val="en-US" w:eastAsia="zh-CN"/>
        </w:rPr>
        <w:fldChar w:fldCharType="separate"/>
      </w:r>
      <w:r>
        <w:rPr>
          <w:rFonts w:hint="eastAsia" w:ascii="宋体" w:hAnsi="宋体" w:cs="Times New Roman"/>
          <w:b/>
          <w:color w:val="FF0000"/>
          <w:sz w:val="21"/>
          <w:lang w:val="en-US" w:eastAsia="zh-CN"/>
        </w:rPr>
        <w:t>供应商自行确定是否提交；若提交请将备份投标文件打包压缩加密（未加密造成泄密的由供应商自行承担）后以电子邮件的形式发送至846270514@qq.com</w:t>
      </w:r>
      <w:r>
        <w:rPr>
          <w:rFonts w:hint="eastAsia" w:ascii="宋体" w:hAnsi="宋体" w:cs="Times New Roman"/>
          <w:b/>
          <w:color w:val="FF0000"/>
          <w:sz w:val="21"/>
          <w:lang w:val="en-US" w:eastAsia="zh-CN"/>
        </w:rPr>
        <w:fldChar w:fldCharType="end"/>
      </w:r>
      <w:r>
        <w:rPr>
          <w:rFonts w:hint="eastAsia" w:ascii="宋体" w:hAnsi="宋体" w:cs="Times New Roman"/>
          <w:b/>
          <w:color w:val="FF0000"/>
          <w:sz w:val="21"/>
          <w:lang w:val="en-US" w:eastAsia="zh-CN"/>
        </w:rPr>
        <w:t xml:space="preserve"> 。</w:t>
      </w:r>
    </w:p>
    <w:p>
      <w:pPr>
        <w:autoSpaceDE w:val="0"/>
        <w:autoSpaceDN w:val="0"/>
        <w:adjustRightInd w:val="0"/>
        <w:snapToGrid w:val="0"/>
        <w:spacing w:beforeLines="0" w:afterLines="0" w:line="360" w:lineRule="auto"/>
        <w:ind w:firstLine="416" w:firstLineChars="198"/>
        <w:rPr>
          <w:rFonts w:hint="eastAsia" w:ascii="宋体" w:hAnsi="宋体" w:cs="Times New Roman"/>
          <w:b/>
          <w:color w:val="FF0000"/>
          <w:sz w:val="21"/>
          <w:lang w:val="en-US" w:eastAsia="zh-CN"/>
        </w:rPr>
      </w:pPr>
      <w:r>
        <w:rPr>
          <w:rFonts w:hint="eastAsia" w:ascii="宋体" w:hAnsi="宋体" w:cs="Times New Roman"/>
          <w:b/>
          <w:color w:val="FF0000"/>
          <w:sz w:val="21"/>
          <w:lang w:val="en-US" w:eastAsia="zh-CN"/>
        </w:rPr>
        <w:t>备份响应文件在“电子加密响应文件”在线解密失败后启用，否则不予以启用；供应商确认“电子加密响应文件”在线解密失败后，将打包压缩加密的备份响应文件的解密密码在解密规定的时间（发出解密通知后60分钟内）发送至上述邮箱内，未在规定时间内发送造成的投标无效或失败由供应商人自行承担。</w:t>
      </w:r>
    </w:p>
    <w:p>
      <w:pPr>
        <w:numPr>
          <w:ilvl w:val="0"/>
          <w:numId w:val="8"/>
        </w:numPr>
        <w:autoSpaceDE w:val="0"/>
        <w:autoSpaceDN w:val="0"/>
        <w:adjustRightInd w:val="0"/>
        <w:snapToGrid w:val="0"/>
        <w:spacing w:beforeLines="0" w:afterLines="0" w:line="360" w:lineRule="auto"/>
        <w:ind w:firstLine="480"/>
        <w:rPr>
          <w:rFonts w:hint="eastAsia" w:ascii="宋体" w:hAnsi="宋体"/>
          <w:b/>
          <w:color w:val="FF0000"/>
          <w:sz w:val="21"/>
          <w:lang w:val="en-US" w:eastAsia="zh-CN"/>
        </w:rPr>
      </w:pPr>
      <w:r>
        <w:rPr>
          <w:rFonts w:hint="eastAsia" w:ascii="宋体" w:hAnsi="宋体"/>
          <w:b/>
          <w:color w:val="FF0000"/>
          <w:sz w:val="21"/>
          <w:lang w:val="en-US" w:eastAsia="zh-CN"/>
        </w:rPr>
        <w:t>中标供应商应提供与电子加密响应文件内容一致的纸质磋商响应文件各一正二副和工程量清单套价软件版。纸质磋商响应文件装订成册，采用胶订或线订，不得采用活页夹等可随时拆换的方式装订。（胶订或线订以外装订形式视为活页装订）中标人在领取中标通知书时提供纸质磋商响应文件。</w:t>
      </w:r>
    </w:p>
    <w:p>
      <w:pPr>
        <w:autoSpaceDE w:val="0"/>
        <w:autoSpaceDN w:val="0"/>
        <w:adjustRightInd w:val="0"/>
        <w:snapToGrid w:val="0"/>
        <w:spacing w:beforeLines="0" w:afterLines="0" w:line="360" w:lineRule="auto"/>
        <w:ind w:firstLine="480"/>
        <w:rPr>
          <w:rFonts w:hint="eastAsia" w:ascii="宋体" w:hAnsi="宋体"/>
          <w:b/>
          <w:color w:val="auto"/>
          <w:sz w:val="21"/>
        </w:rPr>
      </w:pPr>
      <w:r>
        <w:rPr>
          <w:rFonts w:hint="eastAsia" w:ascii="宋体" w:hAnsi="宋体"/>
          <w:b/>
          <w:color w:val="auto"/>
          <w:kern w:val="0"/>
          <w:sz w:val="21"/>
        </w:rPr>
        <w:t>3、</w:t>
      </w:r>
      <w:r>
        <w:rPr>
          <w:rFonts w:hint="eastAsia" w:ascii="宋体" w:hAnsi="宋体"/>
          <w:b/>
          <w:color w:val="auto"/>
          <w:sz w:val="21"/>
        </w:rPr>
        <w:t>磋商响应文件的递交要求</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bookmarkStart w:id="55" w:name="_Toc531359012"/>
      <w:bookmarkStart w:id="56" w:name="_Toc530551857"/>
      <w:bookmarkStart w:id="57" w:name="_Toc34895557"/>
      <w:r>
        <w:rPr>
          <w:rFonts w:hint="eastAsia" w:ascii="宋体" w:hAnsi="宋体"/>
          <w:color w:val="auto"/>
          <w:kern w:val="0"/>
          <w:sz w:val="21"/>
          <w:lang w:eastAsia="zh-CN"/>
        </w:rPr>
        <w:t>（</w:t>
      </w:r>
      <w:r>
        <w:rPr>
          <w:rFonts w:hint="eastAsia" w:ascii="宋体" w:hAnsi="宋体"/>
          <w:color w:val="auto"/>
          <w:kern w:val="0"/>
          <w:sz w:val="21"/>
          <w:lang w:val="en-US" w:eastAsia="zh-CN"/>
        </w:rPr>
        <w:t>1</w:t>
      </w:r>
      <w:r>
        <w:rPr>
          <w:rFonts w:hint="eastAsia" w:ascii="宋体" w:hAnsi="宋体"/>
          <w:color w:val="auto"/>
          <w:kern w:val="0"/>
          <w:sz w:val="21"/>
          <w:lang w:eastAsia="zh-CN"/>
        </w:rPr>
        <w:t>）磋商响应文件</w:t>
      </w:r>
      <w:r>
        <w:rPr>
          <w:rFonts w:hint="eastAsia" w:ascii="宋体" w:hAnsi="宋体"/>
          <w:color w:val="auto"/>
          <w:kern w:val="0"/>
          <w:sz w:val="21"/>
        </w:rPr>
        <w:t>导入</w:t>
      </w:r>
      <w:bookmarkEnd w:id="55"/>
      <w:bookmarkEnd w:id="56"/>
      <w:r>
        <w:rPr>
          <w:rFonts w:hint="eastAsia" w:ascii="宋体" w:hAnsi="宋体"/>
          <w:color w:val="auto"/>
          <w:kern w:val="0"/>
          <w:sz w:val="21"/>
        </w:rPr>
        <w:t>和加密</w:t>
      </w:r>
      <w:bookmarkEnd w:id="57"/>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val="en-US" w:eastAsia="zh-CN"/>
        </w:rPr>
        <w:t>①</w:t>
      </w:r>
      <w:r>
        <w:rPr>
          <w:rFonts w:hint="eastAsia" w:ascii="宋体" w:hAnsi="宋体"/>
          <w:color w:val="auto"/>
          <w:kern w:val="0"/>
          <w:sz w:val="21"/>
          <w:lang w:eastAsia="zh-CN"/>
        </w:rPr>
        <w:t>磋商供应商</w:t>
      </w:r>
      <w:r>
        <w:rPr>
          <w:rFonts w:hint="eastAsia" w:ascii="宋体" w:hAnsi="宋体"/>
          <w:color w:val="auto"/>
          <w:kern w:val="0"/>
          <w:sz w:val="21"/>
        </w:rPr>
        <w:t>应当按照资格</w:t>
      </w:r>
      <w:r>
        <w:rPr>
          <w:rFonts w:hint="eastAsia" w:ascii="宋体" w:hAnsi="宋体"/>
          <w:color w:val="auto"/>
          <w:kern w:val="0"/>
          <w:sz w:val="21"/>
          <w:lang w:val="en-US" w:eastAsia="zh-CN"/>
        </w:rPr>
        <w:t>证明</w:t>
      </w:r>
      <w:r>
        <w:rPr>
          <w:rFonts w:hint="eastAsia" w:ascii="宋体" w:hAnsi="宋体"/>
          <w:color w:val="auto"/>
          <w:kern w:val="0"/>
          <w:sz w:val="21"/>
        </w:rPr>
        <w:t>文件、</w:t>
      </w:r>
      <w:r>
        <w:rPr>
          <w:rFonts w:hint="eastAsia" w:ascii="宋体" w:hAnsi="宋体"/>
          <w:color w:val="auto"/>
          <w:kern w:val="0"/>
          <w:sz w:val="21"/>
          <w:lang w:val="en-US" w:eastAsia="zh-CN"/>
        </w:rPr>
        <w:t>商务与</w:t>
      </w:r>
      <w:r>
        <w:rPr>
          <w:rFonts w:hint="eastAsia" w:ascii="宋体" w:hAnsi="宋体"/>
          <w:color w:val="auto"/>
          <w:kern w:val="0"/>
          <w:sz w:val="21"/>
        </w:rPr>
        <w:t>技术文件和报价文件三部分分别导入相应位置，各文件之间不得导错位置；</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val="en-US" w:eastAsia="zh-CN"/>
        </w:rPr>
        <w:t>②磋商响应文件</w:t>
      </w:r>
      <w:r>
        <w:rPr>
          <w:rFonts w:hint="eastAsia" w:ascii="宋体" w:hAnsi="宋体"/>
          <w:color w:val="auto"/>
          <w:kern w:val="0"/>
          <w:sz w:val="21"/>
          <w:lang w:eastAsia="zh-CN"/>
        </w:rPr>
        <w:t>编制好后应当生成电子加密响应文件，生成电子加密响应文件具体流程详见</w:t>
      </w:r>
      <w:r>
        <w:rPr>
          <w:rFonts w:hint="eastAsia" w:ascii="宋体" w:hAnsi="宋体"/>
          <w:color w:val="auto"/>
          <w:kern w:val="0"/>
          <w:sz w:val="21"/>
          <w:lang w:val="en-US" w:eastAsia="zh-CN"/>
        </w:rPr>
        <w:t>【浙江省】供应商-政府采购项目电子交易操作指南网址：</w:t>
      </w:r>
      <w:r>
        <w:rPr>
          <w:rFonts w:hint="eastAsia" w:ascii="宋体" w:hAnsi="宋体"/>
          <w:color w:val="auto"/>
          <w:kern w:val="0"/>
          <w:sz w:val="21"/>
          <w:lang w:eastAsia="zh-CN"/>
        </w:rPr>
        <w:fldChar w:fldCharType="begin"/>
      </w:r>
      <w:r>
        <w:rPr>
          <w:rFonts w:hint="eastAsia" w:ascii="宋体" w:hAnsi="宋体"/>
          <w:color w:val="auto"/>
          <w:kern w:val="0"/>
          <w:sz w:val="21"/>
          <w:lang w:eastAsia="zh-CN"/>
        </w:rPr>
        <w:instrText xml:space="preserve"> HYPERLINK "https://service.zcygov.cn/" \l "/knowledges/CW1EtGwBFdiHxlNd6I3m/6IMVAG0BFdiHxlNdQ8Na" </w:instrText>
      </w:r>
      <w:r>
        <w:rPr>
          <w:rFonts w:hint="eastAsia" w:ascii="宋体" w:hAnsi="宋体"/>
          <w:color w:val="auto"/>
          <w:kern w:val="0"/>
          <w:sz w:val="21"/>
          <w:lang w:eastAsia="zh-CN"/>
        </w:rPr>
        <w:fldChar w:fldCharType="separate"/>
      </w:r>
      <w:r>
        <w:rPr>
          <w:rFonts w:hint="eastAsia" w:ascii="宋体" w:hAnsi="宋体"/>
          <w:color w:val="auto"/>
          <w:kern w:val="0"/>
          <w:sz w:val="21"/>
          <w:lang w:eastAsia="zh-CN"/>
        </w:rPr>
        <w:t>https://service.zcygov.cn/#/knowledges/CW1EtGwBFdiHxlNd6I3m/6IMVAG0BFdiHxlNdQ8Na</w:t>
      </w:r>
      <w:r>
        <w:rPr>
          <w:rFonts w:hint="eastAsia" w:ascii="宋体" w:hAnsi="宋体"/>
          <w:color w:val="auto"/>
          <w:kern w:val="0"/>
          <w:sz w:val="21"/>
          <w:lang w:eastAsia="zh-CN"/>
        </w:rPr>
        <w:fldChar w:fldCharType="end"/>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lang w:val="en-US" w:eastAsia="zh-CN"/>
        </w:rPr>
      </w:pPr>
      <w:r>
        <w:rPr>
          <w:rFonts w:hint="eastAsia" w:ascii="宋体" w:hAnsi="宋体"/>
          <w:color w:val="auto"/>
          <w:kern w:val="0"/>
          <w:sz w:val="21"/>
          <w:lang w:eastAsia="zh-CN"/>
        </w:rPr>
        <w:t>（</w:t>
      </w:r>
      <w:r>
        <w:rPr>
          <w:rFonts w:hint="eastAsia" w:ascii="宋体" w:hAnsi="宋体"/>
          <w:color w:val="auto"/>
          <w:kern w:val="0"/>
          <w:sz w:val="21"/>
          <w:lang w:val="en-US" w:eastAsia="zh-CN"/>
        </w:rPr>
        <w:t>2</w:t>
      </w:r>
      <w:r>
        <w:rPr>
          <w:rFonts w:hint="eastAsia" w:ascii="宋体" w:hAnsi="宋体"/>
          <w:color w:val="auto"/>
          <w:kern w:val="0"/>
          <w:sz w:val="21"/>
          <w:lang w:eastAsia="zh-CN"/>
        </w:rPr>
        <w:t>）磋商响应文件</w:t>
      </w:r>
      <w:r>
        <w:rPr>
          <w:rFonts w:hint="eastAsia" w:ascii="宋体" w:hAnsi="宋体"/>
          <w:color w:val="auto"/>
          <w:kern w:val="0"/>
          <w:sz w:val="21"/>
          <w:lang w:val="en-US" w:eastAsia="zh-CN"/>
        </w:rPr>
        <w:t>的提交</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val="en-US" w:eastAsia="zh-CN"/>
        </w:rPr>
        <w:t>①磋商响应文件</w:t>
      </w:r>
      <w:r>
        <w:rPr>
          <w:rFonts w:hint="eastAsia" w:ascii="宋体" w:hAnsi="宋体"/>
          <w:color w:val="auto"/>
          <w:kern w:val="0"/>
          <w:sz w:val="21"/>
        </w:rPr>
        <w:t>提交截止时间：见</w:t>
      </w:r>
      <w:r>
        <w:rPr>
          <w:rFonts w:hint="eastAsia" w:ascii="宋体" w:hAnsi="宋体"/>
          <w:color w:val="auto"/>
          <w:kern w:val="0"/>
          <w:sz w:val="21"/>
          <w:lang w:eastAsia="zh-CN"/>
        </w:rPr>
        <w:t>磋商</w:t>
      </w:r>
      <w:r>
        <w:rPr>
          <w:rFonts w:hint="eastAsia" w:ascii="宋体" w:hAnsi="宋体"/>
          <w:color w:val="auto"/>
          <w:kern w:val="0"/>
          <w:sz w:val="21"/>
        </w:rPr>
        <w:t>须知</w:t>
      </w:r>
      <w:r>
        <w:rPr>
          <w:rFonts w:hint="eastAsia" w:ascii="宋体" w:hAnsi="宋体"/>
          <w:color w:val="auto"/>
          <w:kern w:val="0"/>
          <w:sz w:val="21"/>
          <w:lang w:eastAsia="zh-CN"/>
        </w:rPr>
        <w:t>“</w:t>
      </w:r>
      <w:r>
        <w:rPr>
          <w:rFonts w:hint="eastAsia" w:ascii="宋体" w:hAnsi="宋体"/>
          <w:color w:val="auto"/>
          <w:kern w:val="0"/>
          <w:sz w:val="21"/>
        </w:rPr>
        <w:t>前附表</w:t>
      </w:r>
      <w:r>
        <w:rPr>
          <w:rFonts w:hint="eastAsia" w:ascii="宋体" w:hAnsi="宋体"/>
          <w:color w:val="auto"/>
          <w:kern w:val="0"/>
          <w:sz w:val="21"/>
          <w:lang w:eastAsia="zh-CN"/>
        </w:rPr>
        <w:t>”；</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lang w:val="en-US" w:eastAsia="zh-CN"/>
        </w:rPr>
      </w:pPr>
      <w:r>
        <w:rPr>
          <w:rFonts w:hint="eastAsia" w:ascii="宋体" w:hAnsi="宋体"/>
          <w:color w:val="auto"/>
          <w:kern w:val="0"/>
          <w:sz w:val="21"/>
          <w:lang w:val="en-US" w:eastAsia="zh-CN"/>
        </w:rPr>
        <w:t>②磋商响应文件</w:t>
      </w:r>
      <w:r>
        <w:rPr>
          <w:rFonts w:hint="eastAsia" w:ascii="宋体" w:hAnsi="宋体"/>
          <w:color w:val="auto"/>
          <w:kern w:val="0"/>
          <w:sz w:val="21"/>
        </w:rPr>
        <w:t>提交地点：见</w:t>
      </w:r>
      <w:r>
        <w:rPr>
          <w:rFonts w:hint="eastAsia" w:ascii="宋体" w:hAnsi="宋体"/>
          <w:color w:val="auto"/>
          <w:kern w:val="0"/>
          <w:sz w:val="21"/>
          <w:lang w:eastAsia="zh-CN"/>
        </w:rPr>
        <w:t>磋商</w:t>
      </w:r>
      <w:r>
        <w:rPr>
          <w:rFonts w:hint="eastAsia" w:ascii="宋体" w:hAnsi="宋体"/>
          <w:color w:val="auto"/>
          <w:kern w:val="0"/>
          <w:sz w:val="21"/>
        </w:rPr>
        <w:t>须知</w:t>
      </w:r>
      <w:r>
        <w:rPr>
          <w:rFonts w:hint="eastAsia" w:ascii="宋体" w:hAnsi="宋体"/>
          <w:color w:val="auto"/>
          <w:kern w:val="0"/>
          <w:sz w:val="21"/>
          <w:lang w:eastAsia="zh-CN"/>
        </w:rPr>
        <w:t>“</w:t>
      </w:r>
      <w:r>
        <w:rPr>
          <w:rFonts w:hint="eastAsia" w:ascii="宋体" w:hAnsi="宋体"/>
          <w:color w:val="auto"/>
          <w:kern w:val="0"/>
          <w:sz w:val="21"/>
        </w:rPr>
        <w:t>前附表</w:t>
      </w:r>
      <w:r>
        <w:rPr>
          <w:rFonts w:hint="eastAsia" w:ascii="宋体" w:hAnsi="宋体"/>
          <w:color w:val="auto"/>
          <w:kern w:val="0"/>
          <w:sz w:val="21"/>
          <w:lang w:eastAsia="zh-CN"/>
        </w:rPr>
        <w:t>”。</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eastAsia="zh-CN"/>
        </w:rPr>
        <w:t>（</w:t>
      </w:r>
      <w:r>
        <w:rPr>
          <w:rFonts w:hint="eastAsia" w:ascii="宋体" w:hAnsi="宋体"/>
          <w:color w:val="auto"/>
          <w:kern w:val="0"/>
          <w:sz w:val="21"/>
          <w:lang w:val="en-US" w:eastAsia="zh-CN"/>
        </w:rPr>
        <w:t>3</w:t>
      </w:r>
      <w:r>
        <w:rPr>
          <w:rFonts w:hint="eastAsia" w:ascii="宋体" w:hAnsi="宋体"/>
          <w:color w:val="auto"/>
          <w:kern w:val="0"/>
          <w:sz w:val="21"/>
          <w:lang w:eastAsia="zh-CN"/>
        </w:rPr>
        <w:t>）</w:t>
      </w:r>
      <w:r>
        <w:rPr>
          <w:rFonts w:hint="eastAsia" w:ascii="宋体" w:hAnsi="宋体"/>
          <w:color w:val="auto"/>
          <w:kern w:val="0"/>
          <w:sz w:val="21"/>
        </w:rPr>
        <w:t>不予接收的磋商响应文件情形</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val="en-US" w:eastAsia="zh-CN"/>
        </w:rPr>
        <w:t>①</w:t>
      </w:r>
      <w:r>
        <w:rPr>
          <w:rFonts w:hint="eastAsia" w:ascii="宋体" w:hAnsi="宋体"/>
          <w:color w:val="auto"/>
          <w:kern w:val="0"/>
          <w:sz w:val="21"/>
          <w:lang w:eastAsia="zh-CN"/>
        </w:rPr>
        <w:t>磋商</w:t>
      </w:r>
      <w:r>
        <w:rPr>
          <w:rFonts w:hint="eastAsia" w:ascii="宋体" w:hAnsi="宋体"/>
          <w:color w:val="auto"/>
          <w:kern w:val="0"/>
          <w:sz w:val="21"/>
        </w:rPr>
        <w:t>截止时间前未完成传输的磋商响应文件；</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lang w:val="en-US" w:eastAsia="zh-CN"/>
        </w:rPr>
        <w:t>②</w:t>
      </w:r>
      <w:r>
        <w:rPr>
          <w:rFonts w:hint="eastAsia" w:ascii="宋体" w:hAnsi="宋体"/>
          <w:color w:val="auto"/>
          <w:kern w:val="0"/>
          <w:sz w:val="21"/>
        </w:rPr>
        <w:t>未生成加密的磋商响应文件；</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kern w:val="0"/>
          <w:sz w:val="21"/>
          <w:lang w:eastAsia="zh-CN"/>
        </w:rPr>
      </w:pPr>
      <w:r>
        <w:rPr>
          <w:rFonts w:hint="eastAsia" w:ascii="宋体" w:hAnsi="宋体"/>
          <w:kern w:val="0"/>
          <w:sz w:val="21"/>
          <w:lang w:eastAsia="zh-CN"/>
        </w:rPr>
        <w:t>（</w:t>
      </w:r>
      <w:r>
        <w:rPr>
          <w:rFonts w:hint="eastAsia" w:ascii="宋体" w:hAnsi="宋体"/>
          <w:kern w:val="0"/>
          <w:sz w:val="21"/>
          <w:lang w:val="en-US" w:eastAsia="zh-CN"/>
        </w:rPr>
        <w:t>4</w:t>
      </w:r>
      <w:r>
        <w:rPr>
          <w:rFonts w:hint="eastAsia" w:ascii="宋体" w:hAnsi="宋体"/>
          <w:kern w:val="0"/>
          <w:sz w:val="21"/>
          <w:lang w:eastAsia="zh-CN"/>
        </w:rPr>
        <w:t>）供应商所提交的磋商响应文件不予退还。</w:t>
      </w:r>
    </w:p>
    <w:p>
      <w:pPr>
        <w:tabs>
          <w:tab w:val="left" w:pos="1418"/>
        </w:tabs>
        <w:autoSpaceDE w:val="0"/>
        <w:autoSpaceDN w:val="0"/>
        <w:adjustRightInd w:val="0"/>
        <w:snapToGrid w:val="0"/>
        <w:spacing w:beforeLines="0" w:afterLines="0" w:line="360" w:lineRule="auto"/>
        <w:ind w:firstLine="420" w:firstLineChars="200"/>
        <w:rPr>
          <w:rFonts w:hint="eastAsia" w:ascii="宋体" w:hAnsi="宋体"/>
          <w:kern w:val="0"/>
          <w:sz w:val="21"/>
          <w:lang w:eastAsia="zh-CN"/>
        </w:rPr>
      </w:pPr>
      <w:r>
        <w:rPr>
          <w:rFonts w:hint="eastAsia" w:ascii="宋体" w:hAnsi="宋体"/>
          <w:kern w:val="0"/>
          <w:sz w:val="21"/>
          <w:lang w:eastAsia="zh-CN"/>
        </w:rPr>
        <w:t>（</w:t>
      </w:r>
      <w:r>
        <w:rPr>
          <w:rFonts w:hint="eastAsia" w:ascii="宋体" w:hAnsi="宋体"/>
          <w:kern w:val="0"/>
          <w:sz w:val="21"/>
          <w:lang w:val="en-US" w:eastAsia="zh-CN"/>
        </w:rPr>
        <w:t>5</w:t>
      </w:r>
      <w:r>
        <w:rPr>
          <w:rFonts w:hint="eastAsia" w:ascii="宋体" w:hAnsi="宋体"/>
          <w:kern w:val="0"/>
          <w:sz w:val="21"/>
          <w:lang w:eastAsia="zh-CN"/>
        </w:rPr>
        <w:t>）如有特殊情况，采购代理机构延长截止时间和开标时间，采购代理机构和磋商供应商的权利和义务将受到新的截止时间和开标时间的约束。</w:t>
      </w:r>
    </w:p>
    <w:p>
      <w:pPr>
        <w:tabs>
          <w:tab w:val="left" w:pos="1898"/>
        </w:tabs>
        <w:autoSpaceDE w:val="0"/>
        <w:autoSpaceDN w:val="0"/>
        <w:adjustRightInd w:val="0"/>
        <w:snapToGrid w:val="0"/>
        <w:spacing w:beforeLines="0" w:afterLines="0" w:line="360" w:lineRule="auto"/>
        <w:ind w:firstLine="420" w:firstLineChars="200"/>
        <w:rPr>
          <w:rFonts w:hint="eastAsia" w:ascii="宋体" w:hAnsi="宋体"/>
          <w:b/>
          <w:color w:val="auto"/>
          <w:kern w:val="0"/>
          <w:sz w:val="21"/>
        </w:rPr>
      </w:pPr>
      <w:r>
        <w:rPr>
          <w:rFonts w:hint="eastAsia" w:ascii="宋体" w:hAnsi="宋体"/>
          <w:b/>
          <w:color w:val="auto"/>
          <w:kern w:val="0"/>
          <w:sz w:val="21"/>
        </w:rPr>
        <w:t>4、磋商响应文件的补充、修改和撤回。</w:t>
      </w:r>
    </w:p>
    <w:p>
      <w:pPr>
        <w:numPr>
          <w:ilvl w:val="0"/>
          <w:numId w:val="0"/>
        </w:num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lang w:eastAsia="zh-CN"/>
        </w:rPr>
      </w:pPr>
      <w:r>
        <w:rPr>
          <w:rFonts w:hint="eastAsia" w:ascii="宋体" w:hAnsi="宋体"/>
          <w:color w:val="auto"/>
          <w:kern w:val="0"/>
          <w:sz w:val="21"/>
        </w:rPr>
        <w:t>（1）在</w:t>
      </w:r>
      <w:r>
        <w:rPr>
          <w:rFonts w:hint="eastAsia" w:ascii="宋体" w:hAnsi="宋体"/>
          <w:color w:val="auto"/>
          <w:kern w:val="0"/>
          <w:sz w:val="21"/>
          <w:lang w:eastAsia="zh-CN"/>
        </w:rPr>
        <w:t>磋商</w:t>
      </w:r>
      <w:r>
        <w:rPr>
          <w:rFonts w:hint="eastAsia" w:ascii="宋体" w:hAnsi="宋体"/>
          <w:color w:val="auto"/>
          <w:kern w:val="0"/>
          <w:sz w:val="21"/>
        </w:rPr>
        <w:t>截止时间前，</w:t>
      </w:r>
      <w:r>
        <w:rPr>
          <w:rFonts w:hint="eastAsia" w:ascii="宋体" w:hAnsi="宋体"/>
          <w:color w:val="auto"/>
          <w:kern w:val="0"/>
          <w:sz w:val="21"/>
          <w:lang w:eastAsia="zh-CN"/>
        </w:rPr>
        <w:t>磋商供应商</w:t>
      </w:r>
      <w:r>
        <w:rPr>
          <w:rFonts w:hint="eastAsia" w:ascii="宋体" w:hAnsi="宋体"/>
          <w:color w:val="auto"/>
          <w:kern w:val="0"/>
          <w:sz w:val="21"/>
        </w:rPr>
        <w:t>可对已提交的磋商响应文件进行补充、修改或撤回。补充、修改磋商响应文件的，应当先行撤回原文件，补充、修改后重新生成加密的磋商响应文件并重新上传提交；补充、修改后重新提交的磋商响应文件应按</w:t>
      </w:r>
      <w:r>
        <w:rPr>
          <w:rFonts w:hint="eastAsia" w:ascii="宋体" w:hAnsi="宋体"/>
          <w:color w:val="auto"/>
          <w:kern w:val="0"/>
          <w:sz w:val="21"/>
          <w:lang w:eastAsia="zh-CN"/>
        </w:rPr>
        <w:t>磋商</w:t>
      </w:r>
      <w:r>
        <w:rPr>
          <w:rFonts w:hint="eastAsia" w:ascii="宋体" w:hAnsi="宋体"/>
          <w:color w:val="auto"/>
          <w:kern w:val="0"/>
          <w:sz w:val="21"/>
        </w:rPr>
        <w:t>文件的规定编制、加密、导入和提交</w:t>
      </w:r>
      <w:r>
        <w:rPr>
          <w:rFonts w:hint="eastAsia" w:ascii="宋体" w:hAnsi="宋体"/>
          <w:color w:val="auto"/>
          <w:kern w:val="0"/>
          <w:sz w:val="21"/>
          <w:lang w:eastAsia="zh-CN"/>
        </w:rPr>
        <w:t>。</w:t>
      </w:r>
    </w:p>
    <w:p>
      <w:pPr>
        <w:numPr>
          <w:ilvl w:val="0"/>
          <w:numId w:val="0"/>
        </w:num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w:t>
      </w:r>
      <w:r>
        <w:rPr>
          <w:rFonts w:hint="eastAsia" w:ascii="宋体" w:hAnsi="宋体"/>
          <w:color w:val="auto"/>
          <w:kern w:val="0"/>
          <w:sz w:val="21"/>
          <w:lang w:val="en-US" w:eastAsia="zh-CN"/>
        </w:rPr>
        <w:t>2</w:t>
      </w:r>
      <w:r>
        <w:rPr>
          <w:rFonts w:hint="eastAsia" w:ascii="宋体" w:hAnsi="宋体"/>
          <w:color w:val="auto"/>
          <w:kern w:val="0"/>
          <w:sz w:val="21"/>
        </w:rPr>
        <w:t>）</w:t>
      </w:r>
      <w:r>
        <w:rPr>
          <w:rFonts w:hint="eastAsia" w:ascii="宋体" w:hAnsi="宋体"/>
          <w:color w:val="auto"/>
          <w:kern w:val="0"/>
          <w:sz w:val="21"/>
          <w:lang w:val="zh-CN"/>
        </w:rPr>
        <w:t>在磋商响应文件递交截止时间后,磋商供应商不得修改或撤回已</w:t>
      </w:r>
      <w:r>
        <w:rPr>
          <w:rFonts w:hint="eastAsia" w:ascii="宋体" w:hAnsi="宋体"/>
          <w:color w:val="auto"/>
          <w:kern w:val="0"/>
          <w:sz w:val="21"/>
          <w:lang w:val="en-US" w:eastAsia="zh-CN"/>
        </w:rPr>
        <w:t>提交</w:t>
      </w:r>
      <w:r>
        <w:rPr>
          <w:rFonts w:hint="eastAsia" w:ascii="宋体" w:hAnsi="宋体"/>
          <w:color w:val="auto"/>
          <w:kern w:val="0"/>
          <w:sz w:val="21"/>
          <w:lang w:val="zh-CN"/>
        </w:rPr>
        <w:t>的磋商响应文件。</w:t>
      </w:r>
    </w:p>
    <w:p>
      <w:pPr>
        <w:snapToGrid w:val="0"/>
        <w:spacing w:line="360" w:lineRule="auto"/>
        <w:ind w:firstLine="413" w:firstLineChars="196"/>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w:t>
      </w:r>
      <w:r>
        <w:rPr>
          <w:rFonts w:hint="eastAsia" w:ascii="宋体" w:hAnsi="宋体" w:eastAsia="宋体" w:cs="宋体"/>
          <w:b/>
          <w:color w:val="auto"/>
          <w:sz w:val="21"/>
          <w:szCs w:val="21"/>
          <w:highlight w:val="none"/>
          <w:lang w:val="en-US" w:eastAsia="zh-CN" w:bidi="ar"/>
        </w:rPr>
        <w:t>5、</w:t>
      </w:r>
      <w:r>
        <w:rPr>
          <w:rFonts w:hint="eastAsia" w:ascii="宋体" w:hAnsi="宋体" w:eastAsia="宋体" w:cs="宋体"/>
          <w:b/>
          <w:color w:val="auto"/>
          <w:sz w:val="21"/>
          <w:szCs w:val="21"/>
          <w:highlight w:val="none"/>
          <w:lang w:bidi="ar"/>
        </w:rPr>
        <w:t>磋商报价</w:t>
      </w:r>
    </w:p>
    <w:p>
      <w:pPr>
        <w:numPr>
          <w:ilvl w:val="0"/>
          <w:numId w:val="9"/>
        </w:numPr>
        <w:snapToGrid w:val="0"/>
        <w:spacing w:line="360" w:lineRule="auto"/>
        <w:ind w:left="-60" w:leftChars="0" w:firstLine="420" w:firstLineChars="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磋商报价应是采购文件所确定的采购范围内全部工作内容的价格表现，包括项目实施所需的包含所有一切人员工资、各种加班费、节假日补贴、各种社会保险、安全保险、食宿与交通、材料费、机械费、人工费、辅助材料费、建筑垃圾清运费、保险费、管理费、规费以及所有税收、利润、总承包服务费、采购代理服务费等、政策性文件规定及合同包含的所有风险责任等一切费用等完成合同所需的一切本身和不可或缺的所有工作开支、政策性文件规定及合同包含的所有风险、责任等各项全部费用并承担一切风险责任。</w:t>
      </w:r>
    </w:p>
    <w:p>
      <w:pPr>
        <w:autoSpaceDE w:val="0"/>
        <w:autoSpaceDN w:val="0"/>
        <w:adjustRightInd w:val="0"/>
        <w:snapToGrid w:val="0"/>
        <w:spacing w:beforeLines="0" w:afterLines="0" w:line="360" w:lineRule="auto"/>
        <w:ind w:firstLine="416" w:firstLineChars="198"/>
        <w:rPr>
          <w:rFonts w:hint="eastAsia" w:ascii="宋体" w:hAnsi="宋体" w:cs="Times New Roman"/>
          <w:b/>
          <w:color w:val="FF0000"/>
          <w:sz w:val="21"/>
          <w:lang w:val="en-US" w:eastAsia="zh-CN"/>
        </w:rPr>
      </w:pPr>
      <w:r>
        <w:rPr>
          <w:rFonts w:hint="eastAsia" w:ascii="宋体" w:hAnsi="宋体" w:cs="Times New Roman"/>
          <w:b/>
          <w:color w:val="FF0000"/>
          <w:sz w:val="21"/>
          <w:lang w:val="en-US" w:eastAsia="zh-CN"/>
        </w:rPr>
        <w:t xml:space="preserve">（2）报价分二次进行，首次报价在响应文件中体现；最终报价在本顶目磋商结束后由所有有效的磋商供应商在规定的时间时限内（最终报价时间时限根据评审情况另行通知）在平台上进行最终报价，同时将最终报价一览表、已标价工程量清单（包含附录）填写好并加盖单位公章扫描成电子扫描件作为附件上传至政采云或加密发送至邮箱846270514@qq.com。附件未在规定时间内上传或发送则投标无效，附件发送至邮箱未加密造成泄密的由投标人自行承担。最终报价不得高于初次报价，否则将导致无效标（磋商文件的采购需求发生实质性变动的情况除外）。 </w:t>
      </w:r>
    </w:p>
    <w:p>
      <w:pPr>
        <w:snapToGrid w:val="0"/>
        <w:spacing w:line="360" w:lineRule="auto"/>
        <w:ind w:firstLine="420" w:firstLineChars="200"/>
        <w:rPr>
          <w:rFonts w:hint="eastAsia" w:ascii="宋体" w:hAnsi="宋体" w:cs="Times New Roman"/>
          <w:b/>
          <w:color w:val="FF0000"/>
          <w:sz w:val="21"/>
          <w:lang w:val="en-US" w:eastAsia="zh-CN"/>
        </w:rPr>
      </w:pPr>
      <w:r>
        <w:rPr>
          <w:rFonts w:hint="eastAsia" w:ascii="宋体" w:hAnsi="宋体" w:cs="Times New Roman"/>
          <w:b/>
          <w:color w:val="FF0000"/>
          <w:sz w:val="21"/>
          <w:lang w:val="en-US" w:eastAsia="zh-CN"/>
        </w:rPr>
        <w:t>注：各供应商针对本项目最终报价工作应当事先作好充分准备，以避免在规定时间内未能完成最终报价，在规定时间内未能提交完成最终报价（含最终报价一览表、已标价工程量清单（包含附录））文件的，按供应商自动放弃处理，责任由供应商自负。</w:t>
      </w:r>
    </w:p>
    <w:p>
      <w:pPr>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bidi="ar"/>
        </w:rPr>
        <w:t>（3）</w:t>
      </w:r>
      <w:r>
        <w:rPr>
          <w:rFonts w:hint="eastAsia" w:ascii="宋体" w:hAnsi="宋体" w:eastAsia="宋体" w:cs="宋体"/>
          <w:bCs/>
          <w:color w:val="auto"/>
          <w:sz w:val="21"/>
          <w:szCs w:val="21"/>
          <w:highlight w:val="none"/>
          <w:lang w:bidi="ar"/>
        </w:rPr>
        <w:t>磋商响应文件中的所有报价均以人民币（元）为单位；</w:t>
      </w:r>
    </w:p>
    <w:p>
      <w:pPr>
        <w:snapToGrid w:val="0"/>
        <w:spacing w:line="360" w:lineRule="auto"/>
        <w:ind w:firstLine="420" w:firstLineChars="20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val="en-US" w:eastAsia="zh-CN" w:bidi="ar"/>
        </w:rPr>
        <w:t>（4）</w:t>
      </w:r>
      <w:r>
        <w:rPr>
          <w:rFonts w:hint="eastAsia" w:ascii="宋体" w:hAnsi="宋体" w:eastAsia="宋体" w:cs="宋体"/>
          <w:bCs/>
          <w:color w:val="auto"/>
          <w:sz w:val="21"/>
          <w:szCs w:val="21"/>
          <w:highlight w:val="none"/>
          <w:lang w:bidi="ar"/>
        </w:rPr>
        <w:t>采购单位不接受备选方案；</w:t>
      </w:r>
    </w:p>
    <w:p>
      <w:pPr>
        <w:snapToGrid w:val="0"/>
        <w:spacing w:line="360" w:lineRule="auto"/>
        <w:ind w:firstLine="420" w:firstLineChars="200"/>
        <w:rPr>
          <w:rFonts w:hint="eastAsia"/>
          <w:color w:val="auto"/>
          <w:highlight w:val="yellow"/>
        </w:rPr>
      </w:pPr>
      <w:r>
        <w:rPr>
          <w:rFonts w:hint="eastAsia" w:ascii="宋体" w:hAnsi="宋体" w:eastAsia="宋体" w:cs="宋体"/>
          <w:color w:val="auto"/>
          <w:sz w:val="21"/>
          <w:szCs w:val="21"/>
          <w:highlight w:val="none"/>
          <w:lang w:val="en-US" w:eastAsia="zh-CN" w:bidi="ar"/>
        </w:rPr>
        <w:t>（5）本项目设有最高限价，最高限价见前附表。若磋商报价超过最高限价的，其磋商响应文件作无效标处理。</w:t>
      </w:r>
    </w:p>
    <w:p>
      <w:pPr>
        <w:tabs>
          <w:tab w:val="left" w:pos="1418"/>
        </w:tabs>
        <w:autoSpaceDE w:val="0"/>
        <w:autoSpaceDN w:val="0"/>
        <w:adjustRightInd w:val="0"/>
        <w:snapToGrid w:val="0"/>
        <w:spacing w:beforeLines="0" w:afterLines="0" w:line="360" w:lineRule="auto"/>
        <w:ind w:left="480"/>
        <w:rPr>
          <w:rFonts w:hint="eastAsia" w:ascii="宋体" w:hAnsi="宋体"/>
          <w:color w:val="auto"/>
          <w:kern w:val="0"/>
          <w:sz w:val="21"/>
        </w:rPr>
      </w:pPr>
      <w:r>
        <w:rPr>
          <w:rFonts w:hint="eastAsia" w:ascii="宋体" w:hAnsi="宋体"/>
          <w:b/>
          <w:color w:val="auto"/>
          <w:kern w:val="0"/>
          <w:sz w:val="21"/>
        </w:rPr>
        <w:t>（三）磋商响应文件的有效期</w:t>
      </w:r>
    </w:p>
    <w:p>
      <w:pPr>
        <w:snapToGrid w:val="0"/>
        <w:spacing w:beforeLines="0" w:afterLines="0" w:line="360" w:lineRule="auto"/>
        <w:ind w:firstLine="422" w:firstLineChars="200"/>
        <w:rPr>
          <w:rFonts w:hint="eastAsia" w:ascii="宋体" w:hAnsi="宋体"/>
          <w:color w:val="auto"/>
          <w:sz w:val="21"/>
          <w:szCs w:val="21"/>
          <w:lang w:val="en-GB"/>
        </w:rPr>
      </w:pPr>
      <w:r>
        <w:rPr>
          <w:rFonts w:hint="eastAsia" w:ascii="宋体" w:hAnsi="宋体" w:eastAsia="宋体" w:cs="宋体"/>
          <w:b/>
          <w:color w:val="auto"/>
          <w:sz w:val="21"/>
          <w:szCs w:val="21"/>
          <w:highlight w:val="none"/>
          <w:lang w:bidi="ar"/>
        </w:rPr>
        <w:t>▲</w:t>
      </w:r>
      <w:r>
        <w:rPr>
          <w:rFonts w:hint="eastAsia" w:ascii="宋体" w:hAnsi="宋体"/>
          <w:color w:val="auto"/>
          <w:sz w:val="21"/>
        </w:rPr>
        <w:t>1、</w:t>
      </w:r>
      <w:r>
        <w:rPr>
          <w:rFonts w:hint="eastAsia" w:ascii="宋体"/>
          <w:color w:val="auto"/>
          <w:sz w:val="21"/>
          <w:szCs w:val="21"/>
          <w:lang w:val="zh-CN"/>
        </w:rPr>
        <w:t>自磋商响应</w:t>
      </w:r>
      <w:r>
        <w:rPr>
          <w:rFonts w:hint="eastAsia" w:ascii="宋体"/>
          <w:color w:val="auto"/>
          <w:sz w:val="21"/>
          <w:szCs w:val="21"/>
          <w:lang w:val="en-US" w:eastAsia="zh-CN"/>
        </w:rPr>
        <w:t>文件</w:t>
      </w:r>
      <w:r>
        <w:rPr>
          <w:rFonts w:hint="eastAsia" w:ascii="宋体"/>
          <w:color w:val="auto"/>
          <w:sz w:val="21"/>
          <w:szCs w:val="21"/>
          <w:lang w:val="zh-CN"/>
        </w:rPr>
        <w:t>提交截止之日起</w:t>
      </w:r>
      <w:r>
        <w:rPr>
          <w:rFonts w:ascii="宋体"/>
          <w:color w:val="auto"/>
          <w:sz w:val="21"/>
          <w:szCs w:val="21"/>
          <w:lang w:val="zh-CN"/>
        </w:rPr>
        <w:t>90</w:t>
      </w:r>
      <w:r>
        <w:rPr>
          <w:rFonts w:hint="eastAsia" w:ascii="宋体"/>
          <w:color w:val="auto"/>
          <w:sz w:val="21"/>
          <w:szCs w:val="21"/>
          <w:lang w:val="zh-CN"/>
        </w:rPr>
        <w:t>天磋商响应文件应保持有效。有效期短于这个规定期限的磋商响应文件将被拒绝。</w:t>
      </w:r>
      <w:r>
        <w:rPr>
          <w:rFonts w:hint="eastAsia" w:ascii="宋体" w:eastAsia="宋体"/>
          <w:color w:val="auto"/>
          <w:sz w:val="21"/>
          <w:szCs w:val="21"/>
          <w:lang w:val="en-US" w:eastAsia="zh-CN"/>
        </w:rPr>
        <w:t>成交</w:t>
      </w:r>
      <w:r>
        <w:rPr>
          <w:rFonts w:hint="eastAsia" w:ascii="宋体"/>
          <w:color w:val="auto"/>
          <w:sz w:val="21"/>
          <w:szCs w:val="21"/>
          <w:lang w:val="zh-CN"/>
        </w:rPr>
        <w:t>磋商响应文件有</w:t>
      </w:r>
      <w:r>
        <w:rPr>
          <w:rFonts w:hint="eastAsia" w:ascii="宋体" w:hAnsi="宋体"/>
          <w:color w:val="auto"/>
          <w:sz w:val="21"/>
          <w:szCs w:val="21"/>
          <w:lang w:val="en-GB"/>
        </w:rPr>
        <w:t>效期顺延至合同履行完毕，在此有效期内未经同意，</w:t>
      </w:r>
      <w:r>
        <w:rPr>
          <w:rFonts w:hint="eastAsia" w:ascii="宋体"/>
          <w:color w:val="auto"/>
          <w:sz w:val="21"/>
          <w:szCs w:val="21"/>
          <w:lang w:val="zh-CN"/>
        </w:rPr>
        <w:t>磋商响应</w:t>
      </w:r>
      <w:r>
        <w:rPr>
          <w:rFonts w:hint="eastAsia" w:ascii="宋体" w:hAnsi="宋体"/>
          <w:color w:val="auto"/>
          <w:sz w:val="21"/>
          <w:szCs w:val="21"/>
          <w:lang w:val="en-GB"/>
        </w:rPr>
        <w:t>文件的一切内容和补充承诺均为持续有效且不予改变。</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rPr>
        <w:t>2、在特殊情况下，采购人可与磋商供应商协商延长磋商响应文件的有效期，这种要求和答复均以书面形式进行。</w:t>
      </w:r>
    </w:p>
    <w:p>
      <w:pPr>
        <w:snapToGrid w:val="0"/>
        <w:spacing w:beforeLines="0" w:afterLines="0" w:line="360" w:lineRule="auto"/>
        <w:ind w:firstLine="420" w:firstLineChars="200"/>
        <w:rPr>
          <w:rFonts w:hint="eastAsia" w:ascii="宋体" w:hAnsi="宋体"/>
          <w:sz w:val="21"/>
        </w:rPr>
      </w:pPr>
      <w:r>
        <w:rPr>
          <w:rFonts w:hint="eastAsia" w:ascii="宋体" w:hAnsi="宋体"/>
          <w:sz w:val="21"/>
        </w:rPr>
        <w:t xml:space="preserve">3、磋商供应商可拒绝接受延期要求。同意延长有效期的磋商不能修改磋商响应文件。 </w:t>
      </w:r>
    </w:p>
    <w:p>
      <w:pPr>
        <w:snapToGrid w:val="0"/>
        <w:spacing w:beforeLines="0" w:afterLines="0" w:line="360" w:lineRule="auto"/>
        <w:ind w:firstLine="420" w:firstLineChars="200"/>
        <w:rPr>
          <w:rFonts w:hint="eastAsia" w:ascii="宋体" w:hAnsi="宋体"/>
          <w:sz w:val="21"/>
        </w:rPr>
      </w:pPr>
      <w:r>
        <w:rPr>
          <w:rFonts w:hint="eastAsia" w:ascii="宋体" w:hAnsi="宋体"/>
          <w:sz w:val="21"/>
        </w:rPr>
        <w:t>4、成交供应商的磋商响应文件自磋商之日起至合同履行完毕均应保持有效。</w:t>
      </w:r>
    </w:p>
    <w:p>
      <w:pPr>
        <w:tabs>
          <w:tab w:val="left" w:pos="1418"/>
        </w:tabs>
        <w:autoSpaceDE w:val="0"/>
        <w:autoSpaceDN w:val="0"/>
        <w:adjustRightInd w:val="0"/>
        <w:snapToGrid w:val="0"/>
        <w:spacing w:beforeLines="0" w:afterLines="0" w:line="360" w:lineRule="auto"/>
        <w:ind w:firstLine="210" w:firstLineChars="100"/>
        <w:rPr>
          <w:rFonts w:hint="eastAsia" w:ascii="宋体" w:hAnsi="宋体"/>
          <w:b/>
          <w:color w:val="000000"/>
          <w:kern w:val="0"/>
          <w:sz w:val="21"/>
        </w:rPr>
      </w:pPr>
      <w:r>
        <w:rPr>
          <w:rFonts w:hint="eastAsia" w:ascii="宋体" w:hAnsi="宋体"/>
          <w:b/>
          <w:color w:val="000000"/>
          <w:kern w:val="0"/>
          <w:sz w:val="21"/>
          <w:lang w:eastAsia="zh-CN"/>
        </w:rPr>
        <w:t>（四）</w:t>
      </w:r>
      <w:r>
        <w:rPr>
          <w:rFonts w:hint="eastAsia" w:ascii="宋体" w:hAnsi="宋体"/>
          <w:b/>
          <w:color w:val="000000"/>
          <w:kern w:val="0"/>
          <w:sz w:val="21"/>
        </w:rPr>
        <w:t>、磋商保证金</w:t>
      </w:r>
    </w:p>
    <w:p>
      <w:pPr>
        <w:tabs>
          <w:tab w:val="left" w:pos="1418"/>
        </w:tabs>
        <w:autoSpaceDE w:val="0"/>
        <w:autoSpaceDN w:val="0"/>
        <w:adjustRightInd w:val="0"/>
        <w:snapToGrid w:val="0"/>
        <w:spacing w:beforeLines="0" w:afterLines="0" w:line="360" w:lineRule="auto"/>
        <w:rPr>
          <w:rFonts w:hint="eastAsia" w:ascii="宋体" w:hAnsi="宋体"/>
          <w:color w:val="000000"/>
          <w:sz w:val="21"/>
        </w:rPr>
      </w:pPr>
      <w:r>
        <w:rPr>
          <w:rFonts w:hint="eastAsia" w:ascii="宋体" w:hAnsi="宋体"/>
          <w:color w:val="000000"/>
          <w:kern w:val="0"/>
          <w:sz w:val="21"/>
        </w:rPr>
        <w:t xml:space="preserve">  </w:t>
      </w:r>
      <w:r>
        <w:rPr>
          <w:rFonts w:hint="eastAsia" w:ascii="宋体" w:hAnsi="宋体"/>
          <w:kern w:val="0"/>
          <w:sz w:val="21"/>
        </w:rPr>
        <w:t xml:space="preserve">  无</w:t>
      </w:r>
    </w:p>
    <w:p>
      <w:pPr>
        <w:numPr>
          <w:ilvl w:val="0"/>
          <w:numId w:val="0"/>
        </w:numPr>
        <w:tabs>
          <w:tab w:val="left" w:pos="1418"/>
        </w:tabs>
        <w:autoSpaceDE w:val="0"/>
        <w:autoSpaceDN w:val="0"/>
        <w:adjustRightInd w:val="0"/>
        <w:snapToGrid w:val="0"/>
        <w:spacing w:beforeLines="0" w:afterLines="0" w:line="360" w:lineRule="auto"/>
        <w:ind w:left="60" w:leftChars="0"/>
        <w:jc w:val="left"/>
        <w:rPr>
          <w:rFonts w:hint="eastAsia" w:ascii="宋体" w:hAnsi="宋体"/>
          <w:b/>
          <w:color w:val="auto"/>
          <w:kern w:val="0"/>
          <w:sz w:val="21"/>
        </w:rPr>
      </w:pPr>
      <w:r>
        <w:rPr>
          <w:rFonts w:hint="eastAsia" w:ascii="宋体" w:hAnsi="宋体" w:eastAsia="宋体"/>
          <w:b/>
          <w:color w:val="auto"/>
          <w:kern w:val="0"/>
          <w:sz w:val="21"/>
          <w:lang w:val="en-US" w:eastAsia="zh-CN"/>
        </w:rPr>
        <w:t>四、</w:t>
      </w:r>
      <w:r>
        <w:rPr>
          <w:rFonts w:hint="eastAsia" w:ascii="宋体" w:hAnsi="宋体"/>
          <w:b/>
          <w:color w:val="auto"/>
          <w:kern w:val="0"/>
          <w:sz w:val="21"/>
        </w:rPr>
        <w:t>磋商</w:t>
      </w:r>
    </w:p>
    <w:p>
      <w:pPr>
        <w:pStyle w:val="7"/>
        <w:numPr>
          <w:ilvl w:val="0"/>
          <w:numId w:val="0"/>
        </w:numPr>
        <w:spacing w:line="360" w:lineRule="auto"/>
        <w:ind w:left="60" w:leftChars="0" w:firstLine="420" w:firstLineChars="200"/>
        <w:rPr>
          <w:rFonts w:hint="eastAsia"/>
          <w:color w:val="auto"/>
        </w:rPr>
      </w:pPr>
      <w:r>
        <w:rPr>
          <w:rFonts w:hint="eastAsia"/>
          <w:color w:val="auto"/>
        </w:rPr>
        <w:t>本项目通过政府采购云平台进行开标、资格审查、评审、询标，供应商均应当准时在线参加，否则产生的风险由供应商自行承担（供应商务必不要离开电脑太久，并留意手机短信，建议供应商提前做好检查“政府采购云平台”内，关于“项目采购”的岗位权限是否勾选。如有问题，请致电400-881-7190）。</w:t>
      </w:r>
    </w:p>
    <w:p>
      <w:pPr>
        <w:autoSpaceDE w:val="0"/>
        <w:autoSpaceDN w:val="0"/>
        <w:adjustRightInd w:val="0"/>
        <w:snapToGrid w:val="0"/>
        <w:spacing w:beforeLines="0" w:afterLines="0" w:line="360" w:lineRule="auto"/>
        <w:rPr>
          <w:rFonts w:hint="eastAsia" w:ascii="宋体" w:hAnsi="宋体" w:eastAsia="宋体"/>
          <w:b/>
          <w:color w:val="auto"/>
          <w:sz w:val="21"/>
          <w:lang w:eastAsia="zh-CN"/>
        </w:rPr>
      </w:pPr>
      <w:r>
        <w:rPr>
          <w:rFonts w:hint="eastAsia" w:ascii="宋体" w:hAnsi="宋体"/>
          <w:color w:val="auto"/>
          <w:kern w:val="0"/>
          <w:sz w:val="21"/>
        </w:rPr>
        <w:t xml:space="preserve">   </w:t>
      </w:r>
      <w:r>
        <w:rPr>
          <w:rFonts w:hint="eastAsia" w:ascii="宋体" w:hAnsi="宋体"/>
          <w:b/>
          <w:color w:val="auto"/>
          <w:sz w:val="21"/>
        </w:rPr>
        <w:t>（一）</w:t>
      </w:r>
      <w:r>
        <w:rPr>
          <w:rFonts w:hint="eastAsia" w:ascii="宋体" w:hAnsi="宋体"/>
          <w:b/>
          <w:color w:val="auto"/>
          <w:sz w:val="21"/>
          <w:lang w:eastAsia="zh-CN"/>
        </w:rPr>
        <w:t>磋商事项</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CN"/>
        </w:rPr>
        <w:t>1、采购代理机构在“磋商公告”规定的时间和地点进行开标。供应商的供应商代表应当在线参加，否则视同认可开标结果，事后不得对采购相关人员、开标过程和开标结果提出质疑。</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2、评标委员会成员不得参加开标活动。</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jc w:val="left"/>
        <w:textAlignment w:val="auto"/>
        <w:rPr>
          <w:rFonts w:hint="eastAsia"/>
          <w:color w:val="auto"/>
          <w:sz w:val="21"/>
          <w:szCs w:val="21"/>
        </w:rPr>
      </w:pPr>
      <w:r>
        <w:rPr>
          <w:rFonts w:hint="eastAsia" w:ascii="宋体" w:hAnsi="宋体" w:eastAsia="宋体" w:cs="宋体"/>
          <w:color w:val="auto"/>
          <w:sz w:val="21"/>
          <w:szCs w:val="21"/>
          <w:lang w:val="zh-CN"/>
        </w:rPr>
        <w:t>3、本次开标采用先评审资格证明文件和商务与技术文件，后评审报价文件的方式进行。</w:t>
      </w:r>
    </w:p>
    <w:p>
      <w:pPr>
        <w:autoSpaceDE w:val="0"/>
        <w:autoSpaceDN w:val="0"/>
        <w:adjustRightInd w:val="0"/>
        <w:snapToGrid w:val="0"/>
        <w:spacing w:beforeLines="0" w:afterLines="0" w:line="360" w:lineRule="auto"/>
        <w:ind w:firstLine="210" w:firstLineChars="100"/>
        <w:rPr>
          <w:rFonts w:hint="eastAsia" w:ascii="宋体" w:hAnsi="宋体"/>
          <w:color w:val="auto"/>
          <w:kern w:val="0"/>
          <w:sz w:val="21"/>
        </w:rPr>
      </w:pPr>
      <w:r>
        <w:rPr>
          <w:rFonts w:hint="eastAsia" w:ascii="宋体" w:hAnsi="宋体"/>
          <w:b/>
          <w:color w:val="auto"/>
          <w:sz w:val="21"/>
          <w:lang w:eastAsia="zh-CN"/>
        </w:rPr>
        <w:t>（二）</w:t>
      </w:r>
      <w:r>
        <w:rPr>
          <w:rFonts w:hint="eastAsia" w:ascii="宋体" w:hAnsi="宋体"/>
          <w:b/>
          <w:color w:val="auto"/>
          <w:sz w:val="21"/>
        </w:rPr>
        <w:t>磋商程序</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rPr>
        <w:t>1、开启开标场地的录音录像采集设备，并确保其正常运行。</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rPr>
        <w:t>2、对</w:t>
      </w:r>
      <w:r>
        <w:rPr>
          <w:rFonts w:hint="eastAsia" w:ascii="宋体" w:hAnsi="宋体"/>
          <w:color w:val="auto"/>
          <w:sz w:val="21"/>
          <w:lang w:eastAsia="zh-CN"/>
        </w:rPr>
        <w:t>提交了电子</w:t>
      </w:r>
      <w:r>
        <w:rPr>
          <w:rFonts w:hint="eastAsia" w:ascii="宋体" w:hAnsi="宋体"/>
          <w:color w:val="auto"/>
          <w:sz w:val="21"/>
        </w:rPr>
        <w:t>备份</w:t>
      </w:r>
      <w:r>
        <w:rPr>
          <w:rFonts w:hint="eastAsia" w:ascii="宋体" w:hAnsi="宋体"/>
          <w:color w:val="auto"/>
          <w:sz w:val="21"/>
          <w:lang w:eastAsia="zh-CN"/>
        </w:rPr>
        <w:t>磋商</w:t>
      </w:r>
      <w:r>
        <w:rPr>
          <w:rFonts w:hint="eastAsia" w:ascii="宋体" w:hAnsi="宋体"/>
          <w:color w:val="auto"/>
          <w:sz w:val="21"/>
        </w:rPr>
        <w:t>文件</w:t>
      </w:r>
      <w:r>
        <w:rPr>
          <w:rFonts w:hint="eastAsia" w:ascii="宋体" w:hAnsi="宋体"/>
          <w:color w:val="auto"/>
          <w:sz w:val="21"/>
          <w:lang w:eastAsia="zh-CN"/>
        </w:rPr>
        <w:t>的磋商供应商</w:t>
      </w:r>
      <w:r>
        <w:rPr>
          <w:rFonts w:hint="eastAsia" w:ascii="宋体" w:hAnsi="宋体"/>
          <w:color w:val="auto"/>
          <w:sz w:val="21"/>
        </w:rPr>
        <w:t>，代理机构工作人员应做好</w:t>
      </w:r>
      <w:r>
        <w:rPr>
          <w:rFonts w:hint="eastAsia" w:ascii="宋体" w:hAnsi="宋体"/>
          <w:color w:val="auto"/>
          <w:sz w:val="21"/>
          <w:lang w:eastAsia="zh-CN"/>
        </w:rPr>
        <w:t>磋商响应文件</w:t>
      </w:r>
      <w:r>
        <w:rPr>
          <w:rFonts w:hint="eastAsia" w:ascii="宋体" w:hAnsi="宋体"/>
          <w:color w:val="auto"/>
          <w:sz w:val="21"/>
        </w:rPr>
        <w:t>签收记录并通过发送网络形式及时告知供应商。</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rPr>
        <w:t>3、主持人宣布开标，介绍开标现场的人员情况，宣读递交</w:t>
      </w:r>
      <w:r>
        <w:rPr>
          <w:rFonts w:hint="eastAsia" w:ascii="宋体" w:hAnsi="宋体"/>
          <w:color w:val="auto"/>
          <w:sz w:val="21"/>
          <w:lang w:eastAsia="zh-CN"/>
        </w:rPr>
        <w:t>磋商响应</w:t>
      </w:r>
      <w:r>
        <w:rPr>
          <w:rFonts w:hint="eastAsia" w:ascii="宋体" w:hAnsi="宋体"/>
          <w:color w:val="auto"/>
          <w:sz w:val="21"/>
        </w:rPr>
        <w:t xml:space="preserve">文件的供应商名单、开标纪律、应当回避的情形等注意事项。 </w:t>
      </w:r>
    </w:p>
    <w:p>
      <w:pPr>
        <w:snapToGrid w:val="0"/>
        <w:spacing w:beforeLines="0" w:afterLines="0" w:line="360" w:lineRule="auto"/>
        <w:ind w:firstLine="420" w:firstLineChars="200"/>
        <w:rPr>
          <w:rFonts w:hint="eastAsia" w:ascii="宋体" w:hAnsi="宋体"/>
          <w:color w:val="auto"/>
          <w:sz w:val="21"/>
          <w:highlight w:val="none"/>
        </w:rPr>
      </w:pPr>
      <w:r>
        <w:rPr>
          <w:rFonts w:hint="eastAsia" w:ascii="宋体" w:hAnsi="宋体"/>
          <w:color w:val="auto"/>
          <w:sz w:val="21"/>
          <w:highlight w:val="none"/>
        </w:rPr>
        <w:t>4、</w:t>
      </w:r>
      <w:r>
        <w:rPr>
          <w:rFonts w:hint="eastAsia" w:ascii="宋体" w:hAnsi="宋体"/>
          <w:color w:val="auto"/>
          <w:sz w:val="21"/>
          <w:highlight w:val="none"/>
          <w:lang w:val="en-US" w:eastAsia="zh-CN"/>
        </w:rPr>
        <w:t>向各供应商发出电子加密响应文件【开始解密】通知，由供应商按采购文件中前附表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r>
        <w:rPr>
          <w:rFonts w:hint="eastAsia" w:ascii="宋体" w:hAnsi="宋体"/>
          <w:color w:val="auto"/>
          <w:sz w:val="21"/>
          <w:highlight w:val="none"/>
        </w:rPr>
        <w:t>。</w:t>
      </w:r>
    </w:p>
    <w:p>
      <w:pPr>
        <w:snapToGrid w:val="0"/>
        <w:spacing w:beforeLines="0" w:afterLines="0" w:line="360" w:lineRule="auto"/>
        <w:ind w:firstLine="420" w:firstLineChars="200"/>
        <w:rPr>
          <w:rFonts w:hint="eastAsia" w:ascii="宋体" w:hAnsi="宋体"/>
          <w:b/>
          <w:bCs/>
          <w:color w:val="auto"/>
          <w:sz w:val="21"/>
        </w:rPr>
      </w:pPr>
      <w:r>
        <w:rPr>
          <w:rFonts w:hint="eastAsia" w:ascii="宋体" w:hAnsi="宋体"/>
          <w:b/>
          <w:bCs/>
          <w:color w:val="auto"/>
          <w:sz w:val="21"/>
        </w:rPr>
        <w:t>5、</w:t>
      </w:r>
      <w:r>
        <w:rPr>
          <w:rFonts w:hint="eastAsia" w:ascii="宋体" w:hAnsi="宋体" w:eastAsia="宋体" w:cs="宋体"/>
          <w:b/>
          <w:bCs/>
          <w:color w:val="auto"/>
          <w:sz w:val="21"/>
          <w:szCs w:val="21"/>
          <w:highlight w:val="none"/>
          <w:lang w:val="zh-CN"/>
        </w:rPr>
        <w:t>解密结束后，供应商签署不存在影响公平竞争的《政府采购活动现场确认声明书》。各供应商代表应提前打印《政府采购活动现场确认声明书》（见附件），签署完毕后</w:t>
      </w:r>
      <w:r>
        <w:rPr>
          <w:rFonts w:hint="eastAsia" w:ascii="宋体" w:hAnsi="宋体" w:eastAsia="宋体" w:cs="宋体"/>
          <w:b/>
          <w:bCs/>
          <w:color w:val="auto"/>
          <w:sz w:val="21"/>
          <w:szCs w:val="21"/>
          <w:highlight w:val="none"/>
          <w:lang w:val="en-US" w:eastAsia="zh-CN"/>
        </w:rPr>
        <w:t>发送</w:t>
      </w:r>
      <w:r>
        <w:rPr>
          <w:rFonts w:hint="eastAsia" w:ascii="宋体" w:hAnsi="宋体" w:eastAsia="宋体" w:cs="宋体"/>
          <w:b/>
          <w:bCs/>
          <w:color w:val="auto"/>
          <w:sz w:val="21"/>
          <w:szCs w:val="21"/>
          <w:highlight w:val="none"/>
          <w:lang w:val="zh-CN"/>
        </w:rPr>
        <w:t>至</w:t>
      </w:r>
      <w:r>
        <w:rPr>
          <w:rFonts w:hint="eastAsia" w:ascii="宋体" w:hAnsi="宋体" w:eastAsia="宋体" w:cs="宋体"/>
          <w:b/>
          <w:bCs/>
          <w:color w:val="auto"/>
          <w:sz w:val="21"/>
          <w:szCs w:val="21"/>
          <w:highlight w:val="none"/>
          <w:lang w:val="en-US" w:eastAsia="zh-CN"/>
        </w:rPr>
        <w:t>邮箱846270514@qq.com</w:t>
      </w:r>
      <w:r>
        <w:rPr>
          <w:rFonts w:hint="eastAsia" w:ascii="宋体" w:hAnsi="宋体" w:eastAsia="宋体" w:cs="宋体"/>
          <w:b/>
          <w:bCs/>
          <w:color w:val="auto"/>
          <w:sz w:val="21"/>
          <w:szCs w:val="21"/>
          <w:highlight w:val="none"/>
          <w:lang w:val="zh-CN"/>
        </w:rPr>
        <w:t>。</w:t>
      </w:r>
    </w:p>
    <w:p>
      <w:pPr>
        <w:snapToGrid w:val="0"/>
        <w:spacing w:beforeLines="0" w:afterLines="0" w:line="360" w:lineRule="auto"/>
        <w:ind w:firstLine="420" w:firstLineChars="200"/>
        <w:rPr>
          <w:rFonts w:hint="eastAsia" w:ascii="宋体" w:hAnsi="宋体"/>
          <w:sz w:val="21"/>
        </w:rPr>
      </w:pPr>
      <w:r>
        <w:rPr>
          <w:rFonts w:hint="eastAsia" w:ascii="宋体" w:hAnsi="宋体"/>
          <w:sz w:val="21"/>
          <w:lang w:val="en-US" w:eastAsia="zh-CN"/>
        </w:rPr>
        <w:t>6</w:t>
      </w:r>
      <w:r>
        <w:rPr>
          <w:rFonts w:hint="eastAsia" w:ascii="宋体" w:hAnsi="宋体"/>
          <w:sz w:val="21"/>
        </w:rPr>
        <w:t>、</w:t>
      </w:r>
      <w:r>
        <w:rPr>
          <w:rFonts w:hint="eastAsia" w:ascii="宋体"/>
          <w:sz w:val="21"/>
          <w:szCs w:val="21"/>
          <w:lang w:val="zh-CN"/>
        </w:rPr>
        <w:t>采购人或采购机构依法对资格证明文件进行审查，</w:t>
      </w:r>
      <w:r>
        <w:rPr>
          <w:rFonts w:hint="eastAsia" w:ascii="宋体" w:hAnsi="宋体"/>
          <w:sz w:val="21"/>
        </w:rPr>
        <w:t>磋商小组</w:t>
      </w:r>
      <w:r>
        <w:rPr>
          <w:rFonts w:hint="eastAsia" w:ascii="宋体"/>
          <w:sz w:val="21"/>
          <w:szCs w:val="21"/>
          <w:lang w:val="zh-CN"/>
        </w:rPr>
        <w:t>对商务与技术文件进行评审</w:t>
      </w:r>
      <w:r>
        <w:rPr>
          <w:rFonts w:hint="eastAsia" w:ascii="宋体" w:hAnsi="宋体"/>
          <w:sz w:val="21"/>
          <w:lang w:val="en-US" w:eastAsia="zh-CN"/>
        </w:rPr>
        <w:t>。</w:t>
      </w:r>
      <w:r>
        <w:rPr>
          <w:rFonts w:hint="eastAsia" w:ascii="宋体" w:hAnsi="宋体"/>
          <w:sz w:val="21"/>
        </w:rPr>
        <w:t>磋商小组必须按照客观、公正、审慎的原则，根据磋商文件规定的评审程序、评审方法和评审标准进行独立评审。未实质性响应磋商文件的响应文件按无效响应处理，磋商小组应当告知提交响应文件的供应商。</w:t>
      </w:r>
    </w:p>
    <w:p>
      <w:pPr>
        <w:snapToGrid w:val="0"/>
        <w:spacing w:beforeLines="0" w:afterLines="0" w:line="360" w:lineRule="auto"/>
        <w:ind w:firstLine="420" w:firstLineChars="200"/>
        <w:rPr>
          <w:rFonts w:hint="eastAsia" w:ascii="宋体" w:hAnsi="宋体"/>
          <w:sz w:val="21"/>
        </w:rPr>
      </w:pPr>
      <w:r>
        <w:rPr>
          <w:rFonts w:hint="eastAsia" w:ascii="宋体" w:hAnsi="宋体"/>
          <w:sz w:val="21"/>
        </w:rPr>
        <w:t>7、磋商小组所有成员集中与单一供应商分别进行磋商，并给予所有参加磋商的供应商平等的磋商机会。</w:t>
      </w:r>
    </w:p>
    <w:p>
      <w:pPr>
        <w:snapToGrid w:val="0"/>
        <w:spacing w:beforeLines="0" w:afterLines="0" w:line="360" w:lineRule="auto"/>
        <w:ind w:firstLine="420" w:firstLineChars="200"/>
        <w:rPr>
          <w:rFonts w:hint="eastAsia" w:ascii="宋体" w:hAnsi="宋体"/>
          <w:sz w:val="21"/>
        </w:rPr>
      </w:pPr>
      <w:r>
        <w:rPr>
          <w:rFonts w:hint="eastAsia" w:ascii="宋体" w:hAnsi="宋体"/>
          <w:sz w:val="21"/>
        </w:rPr>
        <w:t>8、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w:t>
      </w:r>
      <w:r>
        <w:rPr>
          <w:rFonts w:hint="eastAsia" w:ascii="宋体" w:hAnsi="宋体"/>
          <w:b/>
          <w:bCs/>
          <w:sz w:val="21"/>
        </w:rPr>
        <w:t>通过政府采购云平台通知所有参加磋商的供应商</w:t>
      </w:r>
      <w:r>
        <w:rPr>
          <w:rFonts w:hint="eastAsia" w:ascii="宋体" w:hAnsi="宋体"/>
          <w:sz w:val="21"/>
        </w:rPr>
        <w:t>。供应商应当按照磋商文件的变动情况和磋商小组的要求重新提交响应文件，并加盖单位CA签章，上传政府采购云平台。</w:t>
      </w:r>
    </w:p>
    <w:p>
      <w:pPr>
        <w:snapToGrid w:val="0"/>
        <w:spacing w:beforeLines="0" w:afterLines="0" w:line="360" w:lineRule="auto"/>
        <w:ind w:firstLine="420" w:firstLineChars="200"/>
        <w:rPr>
          <w:rFonts w:hint="eastAsia" w:ascii="宋体" w:hAnsi="宋体"/>
          <w:sz w:val="21"/>
        </w:rPr>
      </w:pPr>
      <w:r>
        <w:rPr>
          <w:rFonts w:hint="eastAsia" w:ascii="宋体" w:hAnsi="宋体"/>
          <w:sz w:val="21"/>
        </w:rPr>
        <w:t xml:space="preserve">9、磋商文件能够详细列明采购标的的技术、服务要求的，磋商结束后，磋商小组将要求所有实质性响应的供应商在规定时间内提交最后报价，最后报价是供应商响应文件的有效组成部分。 </w:t>
      </w:r>
    </w:p>
    <w:p>
      <w:pPr>
        <w:snapToGrid w:val="0"/>
        <w:spacing w:beforeLines="0" w:afterLines="0" w:line="360" w:lineRule="auto"/>
        <w:ind w:firstLine="420" w:firstLineChars="200"/>
        <w:rPr>
          <w:rFonts w:hint="eastAsia" w:ascii="宋体" w:hAnsi="宋体"/>
          <w:sz w:val="21"/>
        </w:rPr>
      </w:pPr>
      <w:r>
        <w:rPr>
          <w:rFonts w:hint="eastAsia" w:hAnsi="宋体"/>
          <w:sz w:val="21"/>
        </w:rPr>
        <w:t>10、</w:t>
      </w:r>
      <w:r>
        <w:rPr>
          <w:rFonts w:hint="eastAsia" w:ascii="宋体" w:hAnsi="宋体"/>
          <w:sz w:val="21"/>
        </w:rPr>
        <w:t>经磋商确定最终采购需求和提交最后报价的供应商后，由磋商小组采用综合评分法对提交最后报价的供应商的响应文件和最后报价进行综合评分。</w:t>
      </w:r>
    </w:p>
    <w:p>
      <w:pPr>
        <w:pStyle w:val="10"/>
        <w:snapToGrid w:val="0"/>
        <w:spacing w:beforeLines="0" w:afterLines="0" w:line="360" w:lineRule="auto"/>
        <w:ind w:firstLine="420" w:firstLineChars="200"/>
        <w:rPr>
          <w:rFonts w:hint="eastAsia" w:hAnsi="宋体"/>
          <w:sz w:val="21"/>
        </w:rPr>
      </w:pPr>
      <w:r>
        <w:rPr>
          <w:rFonts w:hint="eastAsia" w:hAnsi="宋体"/>
          <w:sz w:val="21"/>
        </w:rPr>
        <w:t>11、磋商小组根据综合评分情况，按照评审得分由高到低顺序确定预成交供应商，编写评审报告。</w:t>
      </w:r>
    </w:p>
    <w:p>
      <w:pPr>
        <w:pStyle w:val="10"/>
        <w:snapToGrid w:val="0"/>
        <w:spacing w:beforeLines="0" w:afterLines="0" w:line="360" w:lineRule="auto"/>
        <w:ind w:firstLine="420" w:firstLineChars="200"/>
        <w:rPr>
          <w:rFonts w:hint="eastAsia" w:hAnsi="宋体"/>
          <w:sz w:val="21"/>
        </w:rPr>
      </w:pPr>
      <w:r>
        <w:rPr>
          <w:rFonts w:hint="eastAsia" w:hAnsi="宋体"/>
          <w:sz w:val="21"/>
        </w:rPr>
        <w:t>12、采购组织机构对磋商小组专家成员进行评价；</w:t>
      </w:r>
    </w:p>
    <w:p>
      <w:pPr>
        <w:pStyle w:val="10"/>
        <w:snapToGrid w:val="0"/>
        <w:spacing w:beforeLines="0" w:afterLines="0" w:line="360" w:lineRule="auto"/>
        <w:ind w:firstLine="420" w:firstLineChars="200"/>
        <w:rPr>
          <w:rFonts w:hint="eastAsia" w:hAnsi="宋体"/>
          <w:sz w:val="21"/>
        </w:rPr>
      </w:pPr>
      <w:r>
        <w:rPr>
          <w:rFonts w:hint="eastAsia" w:hAnsi="宋体"/>
          <w:sz w:val="21"/>
          <w:lang w:val="en-US" w:eastAsia="zh-CN"/>
        </w:rPr>
        <w:t>13、</w:t>
      </w:r>
      <w:r>
        <w:rPr>
          <w:rFonts w:hint="eastAsia" w:hAnsi="宋体"/>
          <w:sz w:val="21"/>
        </w:rPr>
        <w:t>主持人到磋商采购会现场宣布磋商结果（含技术得分、最后报价、报价得分及总得分），磋商采购会议结束。</w:t>
      </w:r>
    </w:p>
    <w:p>
      <w:pPr>
        <w:pStyle w:val="10"/>
        <w:snapToGrid w:val="0"/>
        <w:spacing w:beforeLines="0" w:afterLines="0" w:line="360" w:lineRule="auto"/>
        <w:ind w:firstLine="420" w:firstLineChars="200"/>
        <w:rPr>
          <w:rFonts w:hint="eastAsia" w:hAnsi="宋体"/>
          <w:color w:val="auto"/>
          <w:sz w:val="21"/>
        </w:rPr>
      </w:pPr>
      <w:r>
        <w:rPr>
          <w:rFonts w:hint="eastAsia" w:hAnsi="宋体"/>
          <w:b/>
          <w:color w:val="auto"/>
          <w:sz w:val="21"/>
        </w:rPr>
        <w:t>（</w:t>
      </w:r>
      <w:r>
        <w:rPr>
          <w:rFonts w:hint="eastAsia" w:hAnsi="宋体" w:eastAsia="宋体"/>
          <w:b/>
          <w:color w:val="auto"/>
          <w:sz w:val="21"/>
          <w:lang w:val="en-US" w:eastAsia="zh-CN"/>
        </w:rPr>
        <w:t>三</w:t>
      </w:r>
      <w:r>
        <w:rPr>
          <w:rFonts w:hint="eastAsia" w:hAnsi="宋体"/>
          <w:b/>
          <w:color w:val="auto"/>
          <w:sz w:val="21"/>
        </w:rPr>
        <w:t>）澄清问题的形式</w:t>
      </w:r>
    </w:p>
    <w:p>
      <w:pPr>
        <w:snapToGrid w:val="0"/>
        <w:spacing w:beforeLines="0" w:afterLines="0" w:line="360" w:lineRule="auto"/>
        <w:ind w:firstLine="420" w:firstLineChars="200"/>
        <w:rPr>
          <w:rFonts w:hint="eastAsia" w:ascii="宋体" w:hAnsi="宋体"/>
          <w:color w:val="auto"/>
          <w:sz w:val="21"/>
          <w:lang w:eastAsia="zh-CN"/>
        </w:rPr>
      </w:pPr>
      <w:r>
        <w:rPr>
          <w:rFonts w:hint="eastAsia" w:ascii="宋体" w:hAnsi="宋体"/>
          <w:color w:val="auto"/>
          <w:sz w:val="21"/>
          <w:lang w:eastAsia="zh-CN"/>
        </w:rPr>
        <w:t>（</w:t>
      </w:r>
      <w:r>
        <w:rPr>
          <w:rFonts w:hint="eastAsia" w:ascii="宋体" w:hAnsi="宋体"/>
          <w:color w:val="auto"/>
          <w:sz w:val="21"/>
          <w:lang w:val="en-US" w:eastAsia="zh-CN"/>
        </w:rPr>
        <w:t>1</w:t>
      </w:r>
      <w:r>
        <w:rPr>
          <w:rFonts w:hint="eastAsia" w:ascii="宋体" w:hAnsi="宋体"/>
          <w:color w:val="auto"/>
          <w:sz w:val="21"/>
          <w:lang w:eastAsia="zh-CN"/>
        </w:rPr>
        <w:t>）</w:t>
      </w:r>
      <w:r>
        <w:rPr>
          <w:rFonts w:hint="eastAsia" w:ascii="宋体" w:hAnsi="宋体"/>
          <w:color w:val="auto"/>
          <w:sz w:val="21"/>
        </w:rPr>
        <w:t>评审中需要</w:t>
      </w:r>
      <w:r>
        <w:rPr>
          <w:rFonts w:hint="eastAsia" w:ascii="宋体" w:hAnsi="宋体"/>
          <w:color w:val="auto"/>
          <w:sz w:val="21"/>
          <w:lang w:val="en-US" w:eastAsia="zh-CN"/>
        </w:rPr>
        <w:t>供应商</w:t>
      </w:r>
      <w:r>
        <w:rPr>
          <w:rFonts w:hint="eastAsia" w:ascii="宋体" w:hAnsi="宋体"/>
          <w:color w:val="auto"/>
          <w:sz w:val="21"/>
        </w:rPr>
        <w:t>对</w:t>
      </w:r>
      <w:r>
        <w:rPr>
          <w:rFonts w:hint="eastAsia" w:ascii="宋体" w:hAnsi="宋体"/>
          <w:color w:val="auto"/>
          <w:sz w:val="21"/>
          <w:lang w:eastAsia="zh-CN"/>
        </w:rPr>
        <w:t>磋商响应</w:t>
      </w:r>
      <w:r>
        <w:rPr>
          <w:rFonts w:hint="eastAsia" w:ascii="宋体" w:hAnsi="宋体"/>
          <w:color w:val="auto"/>
          <w:sz w:val="21"/>
        </w:rPr>
        <w:t>文件作出澄清、说明或者补正的，评</w:t>
      </w:r>
      <w:r>
        <w:rPr>
          <w:rFonts w:hint="eastAsia" w:ascii="宋体" w:hAnsi="宋体"/>
          <w:color w:val="auto"/>
          <w:sz w:val="21"/>
          <w:lang w:val="en-US" w:eastAsia="zh-CN"/>
        </w:rPr>
        <w:t>标委员会</w:t>
      </w:r>
      <w:r>
        <w:rPr>
          <w:rFonts w:hint="eastAsia" w:ascii="宋体" w:hAnsi="宋体"/>
          <w:color w:val="auto"/>
          <w:sz w:val="21"/>
          <w:lang w:eastAsia="zh-CN"/>
        </w:rPr>
        <w:t>将以书面形式（或</w:t>
      </w:r>
      <w:r>
        <w:rPr>
          <w:rFonts w:hint="eastAsia" w:ascii="宋体" w:hAnsi="宋体"/>
          <w:color w:val="auto"/>
          <w:sz w:val="21"/>
        </w:rPr>
        <w:t>通过</w:t>
      </w:r>
      <w:r>
        <w:rPr>
          <w:rFonts w:hint="eastAsia" w:ascii="宋体" w:hAnsi="宋体"/>
          <w:color w:val="auto"/>
          <w:sz w:val="21"/>
          <w:lang w:val="en-US" w:eastAsia="zh-CN"/>
        </w:rPr>
        <w:t>“政府采购云平台”</w:t>
      </w:r>
      <w:r>
        <w:rPr>
          <w:rFonts w:hint="eastAsia" w:ascii="宋体" w:hAnsi="宋体"/>
          <w:color w:val="auto"/>
          <w:sz w:val="21"/>
          <w:lang w:eastAsia="zh-CN"/>
        </w:rPr>
        <w:t>）进行询标</w:t>
      </w:r>
      <w:r>
        <w:rPr>
          <w:rFonts w:hint="eastAsia" w:ascii="宋体" w:hAnsi="宋体"/>
          <w:color w:val="auto"/>
          <w:sz w:val="21"/>
        </w:rPr>
        <w:t>。给予</w:t>
      </w:r>
      <w:r>
        <w:rPr>
          <w:rFonts w:hint="eastAsia" w:ascii="宋体" w:hAnsi="宋体"/>
          <w:color w:val="auto"/>
          <w:sz w:val="21"/>
          <w:lang w:val="en-US" w:eastAsia="zh-CN"/>
        </w:rPr>
        <w:t>供应商</w:t>
      </w:r>
      <w:r>
        <w:rPr>
          <w:rFonts w:hint="eastAsia" w:ascii="宋体" w:hAnsi="宋体"/>
          <w:color w:val="auto"/>
          <w:sz w:val="21"/>
        </w:rPr>
        <w:t>提交澄清说明或补正的时间不得少于半小时，</w:t>
      </w:r>
      <w:r>
        <w:rPr>
          <w:rFonts w:hint="eastAsia" w:ascii="宋体" w:hAnsi="宋体"/>
          <w:color w:val="auto"/>
          <w:sz w:val="21"/>
          <w:lang w:val="en-US" w:eastAsia="zh-CN"/>
        </w:rPr>
        <w:t>供应商</w:t>
      </w:r>
      <w:r>
        <w:rPr>
          <w:rFonts w:hint="eastAsia" w:ascii="宋体" w:hAnsi="宋体"/>
          <w:color w:val="auto"/>
          <w:sz w:val="21"/>
        </w:rPr>
        <w:t>已经明确表示澄清说明或补正完毕的除外。</w:t>
      </w:r>
      <w:r>
        <w:rPr>
          <w:rFonts w:hint="eastAsia" w:ascii="宋体" w:hAnsi="宋体"/>
          <w:color w:val="auto"/>
          <w:sz w:val="21"/>
          <w:lang w:eastAsia="zh-CN"/>
        </w:rPr>
        <w:t>供应商</w:t>
      </w:r>
      <w:r>
        <w:rPr>
          <w:rFonts w:hint="eastAsia" w:ascii="宋体" w:hAnsi="宋体"/>
          <w:color w:val="auto"/>
          <w:sz w:val="21"/>
        </w:rPr>
        <w:t>务必在线等待，留意手机短信，及时在线澄清、说明或补正</w:t>
      </w:r>
      <w:r>
        <w:rPr>
          <w:rFonts w:hint="eastAsia" w:ascii="宋体" w:hAnsi="宋体"/>
          <w:color w:val="auto"/>
          <w:sz w:val="21"/>
          <w:lang w:eastAsia="zh-CN"/>
        </w:rPr>
        <w:t>。</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lang w:val="en-US" w:eastAsia="zh-CN"/>
        </w:rPr>
        <w:t>（2）供应商的的澄清、说明或补正将作为磋商响应文件的一部分</w:t>
      </w:r>
      <w:r>
        <w:rPr>
          <w:rFonts w:hint="eastAsia" w:ascii="宋体" w:hAnsi="宋体"/>
          <w:color w:val="auto"/>
          <w:sz w:val="21"/>
        </w:rPr>
        <w:t>。</w:t>
      </w:r>
    </w:p>
    <w:p>
      <w:pPr>
        <w:snapToGrid w:val="0"/>
        <w:spacing w:beforeLines="0" w:afterLines="0" w:line="360" w:lineRule="auto"/>
        <w:ind w:firstLine="420" w:firstLineChars="200"/>
        <w:rPr>
          <w:rFonts w:hint="eastAsia" w:ascii="宋体" w:hAnsi="宋体"/>
          <w:color w:val="auto"/>
          <w:sz w:val="21"/>
        </w:rPr>
      </w:pPr>
      <w:r>
        <w:rPr>
          <w:rFonts w:hint="eastAsia" w:ascii="宋体" w:hAnsi="宋体"/>
          <w:b/>
          <w:color w:val="auto"/>
          <w:sz w:val="21"/>
        </w:rPr>
        <w:t>（</w:t>
      </w:r>
      <w:r>
        <w:rPr>
          <w:rFonts w:hint="eastAsia" w:ascii="宋体" w:hAnsi="宋体" w:eastAsia="宋体"/>
          <w:b/>
          <w:color w:val="auto"/>
          <w:sz w:val="21"/>
          <w:lang w:val="en-US" w:eastAsia="zh-CN"/>
        </w:rPr>
        <w:t>四</w:t>
      </w:r>
      <w:r>
        <w:rPr>
          <w:rFonts w:hint="eastAsia" w:ascii="宋体" w:hAnsi="宋体"/>
          <w:b/>
          <w:color w:val="auto"/>
          <w:sz w:val="21"/>
        </w:rPr>
        <w:t>）错误修正</w:t>
      </w:r>
    </w:p>
    <w:p>
      <w:pPr>
        <w:pStyle w:val="20"/>
        <w:snapToGrid w:val="0"/>
        <w:spacing w:before="0" w:beforeLines="0" w:beforeAutospacing="0" w:after="0" w:afterLines="0" w:afterAutospacing="0" w:line="360" w:lineRule="auto"/>
        <w:ind w:firstLine="420" w:firstLineChars="200"/>
        <w:jc w:val="both"/>
        <w:rPr>
          <w:rFonts w:hint="eastAsia"/>
          <w:color w:val="auto"/>
          <w:sz w:val="21"/>
        </w:rPr>
      </w:pPr>
      <w:r>
        <w:rPr>
          <w:rFonts w:hint="eastAsia"/>
          <w:color w:val="auto"/>
          <w:sz w:val="21"/>
        </w:rPr>
        <w:t>磋商响应文件报价出现前后不一致的，除磋商采购文件另有规定外，按照下列规定修正：</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1、磋商响应文件中首次报价一览表内容与磋商响应文件中相应内容不一致的，以首次报价一览表为准；</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2、大写金额和小写金额不一致的，以大写金额为准；</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3、单价金额小数点或者百分比有明显错位的，以首次报价一览表的总价为准，并修改单价；</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4、总价金额与按单价汇总金额不一致的，以单价金额计算结果为准。</w:t>
      </w:r>
    </w:p>
    <w:p>
      <w:pPr>
        <w:pStyle w:val="20"/>
        <w:snapToGrid w:val="0"/>
        <w:spacing w:before="0" w:beforeLines="0" w:beforeAutospacing="0" w:after="0" w:afterLines="0" w:afterAutospacing="0" w:line="360" w:lineRule="auto"/>
        <w:ind w:firstLine="480"/>
        <w:jc w:val="both"/>
        <w:rPr>
          <w:rFonts w:hint="eastAsia"/>
          <w:color w:val="auto"/>
          <w:sz w:val="21"/>
        </w:rPr>
      </w:pPr>
      <w:r>
        <w:rPr>
          <w:rFonts w:hint="eastAsia"/>
          <w:color w:val="auto"/>
          <w:sz w:val="21"/>
        </w:rPr>
        <w:t>同时出现两种以上不一致的，按照前款规定的顺序修正。修正应当采用书面形式，并加盖公章，或者由法定代表人或其授权的代表签字</w:t>
      </w:r>
      <w:r>
        <w:rPr>
          <w:rFonts w:hint="eastAsia"/>
          <w:color w:val="auto"/>
          <w:sz w:val="21"/>
          <w:lang w:eastAsia="zh-CN"/>
        </w:rPr>
        <w:t>。</w:t>
      </w:r>
      <w:r>
        <w:rPr>
          <w:rFonts w:hint="eastAsia"/>
          <w:color w:val="auto"/>
          <w:sz w:val="21"/>
        </w:rPr>
        <w:t>修正后的报价经磋商供应商确认后产生约束力，磋商供应商不确认的，将终止磋商。</w:t>
      </w:r>
    </w:p>
    <w:p>
      <w:pPr>
        <w:pStyle w:val="20"/>
        <w:snapToGrid w:val="0"/>
        <w:spacing w:before="0" w:beforeLines="0" w:beforeAutospacing="0" w:after="0" w:afterLines="0" w:afterAutospacing="0" w:line="360" w:lineRule="auto"/>
        <w:ind w:firstLine="480"/>
        <w:rPr>
          <w:rFonts w:hint="default"/>
          <w:b/>
          <w:color w:val="auto"/>
          <w:sz w:val="21"/>
          <w:lang w:val="en-US" w:eastAsia="zh-CN"/>
        </w:rPr>
      </w:pPr>
      <w:r>
        <w:rPr>
          <w:rFonts w:hint="eastAsia"/>
          <w:b/>
          <w:color w:val="auto"/>
          <w:sz w:val="21"/>
          <w:lang w:val="en-US" w:eastAsia="zh-CN"/>
        </w:rPr>
        <w:t>（五）磋商</w:t>
      </w:r>
      <w:r>
        <w:rPr>
          <w:rFonts w:hint="default"/>
          <w:b/>
          <w:color w:val="auto"/>
          <w:sz w:val="21"/>
          <w:lang w:val="en-US" w:eastAsia="zh-CN"/>
        </w:rPr>
        <w:t>过程中出现以下情形，导致电子交易平台无法正常运行，或者无法保证电子交易的公平、公正和安全时，采购组织机构可中止电子交易活动：</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1、</w:t>
      </w:r>
      <w:r>
        <w:rPr>
          <w:rFonts w:hint="default" w:ascii="宋体" w:hAnsi="宋体"/>
          <w:color w:val="auto"/>
          <w:kern w:val="0"/>
          <w:sz w:val="21"/>
          <w:lang w:val="en-US" w:eastAsia="zh-CN"/>
        </w:rPr>
        <w:t>电子交易平台发生故障而无法登录访问的； </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2、</w:t>
      </w:r>
      <w:r>
        <w:rPr>
          <w:rFonts w:hint="default" w:ascii="宋体" w:hAnsi="宋体"/>
          <w:color w:val="auto"/>
          <w:kern w:val="0"/>
          <w:sz w:val="21"/>
          <w:lang w:val="en-US" w:eastAsia="zh-CN"/>
        </w:rPr>
        <w:t>电子交易平台应用或数据库出现错误，不能进行正常操作的；</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3、</w:t>
      </w:r>
      <w:r>
        <w:rPr>
          <w:rFonts w:hint="default" w:ascii="宋体" w:hAnsi="宋体"/>
          <w:color w:val="auto"/>
          <w:kern w:val="0"/>
          <w:sz w:val="21"/>
          <w:lang w:val="en-US" w:eastAsia="zh-CN"/>
        </w:rPr>
        <w:t>电子交易平台发现严重安全漏洞，有潜在泄密危险的；</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4、</w:t>
      </w:r>
      <w:r>
        <w:rPr>
          <w:rFonts w:hint="default" w:ascii="宋体" w:hAnsi="宋体"/>
          <w:color w:val="auto"/>
          <w:kern w:val="0"/>
          <w:sz w:val="21"/>
          <w:lang w:val="en-US" w:eastAsia="zh-CN"/>
        </w:rPr>
        <w:t>病毒发作导致不能进行正常操作的； </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5、</w:t>
      </w:r>
      <w:r>
        <w:rPr>
          <w:rFonts w:hint="default" w:ascii="宋体" w:hAnsi="宋体"/>
          <w:color w:val="auto"/>
          <w:kern w:val="0"/>
          <w:sz w:val="21"/>
          <w:lang w:val="en-US" w:eastAsia="zh-CN"/>
        </w:rPr>
        <w:t>其他无法保证电子交易的公平、公正和安全的情况。</w:t>
      </w:r>
    </w:p>
    <w:p>
      <w:pPr>
        <w:adjustRightInd w:val="0"/>
        <w:snapToGrid w:val="0"/>
        <w:spacing w:beforeLines="0" w:afterLines="0" w:line="360" w:lineRule="auto"/>
        <w:ind w:firstLine="420" w:firstLineChars="200"/>
        <w:jc w:val="left"/>
        <w:rPr>
          <w:rFonts w:hint="eastAsia"/>
          <w:color w:val="000000"/>
          <w:sz w:val="21"/>
        </w:rPr>
      </w:pPr>
      <w:r>
        <w:rPr>
          <w:rFonts w:hint="default" w:ascii="宋体" w:hAnsi="宋体"/>
          <w:kern w:val="0"/>
          <w:sz w:val="21"/>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20"/>
        <w:snapToGrid w:val="0"/>
        <w:spacing w:before="0" w:beforeLines="0" w:beforeAutospacing="0" w:after="0" w:afterLines="0" w:afterAutospacing="0" w:line="360" w:lineRule="auto"/>
        <w:ind w:firstLine="480"/>
        <w:rPr>
          <w:rFonts w:hint="eastAsia"/>
          <w:color w:val="auto"/>
          <w:sz w:val="21"/>
        </w:rPr>
      </w:pPr>
      <w:r>
        <w:rPr>
          <w:rFonts w:hint="eastAsia"/>
          <w:b/>
          <w:color w:val="auto"/>
          <w:sz w:val="21"/>
        </w:rPr>
        <w:t>（</w:t>
      </w:r>
      <w:r>
        <w:rPr>
          <w:rFonts w:hint="eastAsia"/>
          <w:b/>
          <w:color w:val="auto"/>
          <w:sz w:val="21"/>
          <w:lang w:val="en-US" w:eastAsia="zh-CN"/>
        </w:rPr>
        <w:t>六</w:t>
      </w:r>
      <w:r>
        <w:rPr>
          <w:rFonts w:hint="eastAsia"/>
          <w:b/>
          <w:color w:val="auto"/>
          <w:sz w:val="21"/>
        </w:rPr>
        <w:t>）磋商供应商存在下列情况之一的，响应无效，终止磋商</w:t>
      </w:r>
    </w:p>
    <w:p>
      <w:pPr>
        <w:adjustRightInd w:val="0"/>
        <w:snapToGrid w:val="0"/>
        <w:spacing w:line="360" w:lineRule="auto"/>
        <w:ind w:firstLine="420" w:firstLineChars="200"/>
        <w:jc w:val="left"/>
        <w:rPr>
          <w:rFonts w:hint="default" w:hAnsi="宋体"/>
          <w:b/>
          <w:color w:val="auto"/>
          <w:sz w:val="21"/>
        </w:rPr>
      </w:pPr>
      <w:r>
        <w:rPr>
          <w:rFonts w:hint="eastAsia" w:ascii="宋体" w:hAnsi="宋体"/>
          <w:kern w:val="0"/>
          <w:sz w:val="21"/>
        </w:rPr>
        <w:t>1、</w:t>
      </w:r>
      <w:r>
        <w:rPr>
          <w:rFonts w:hint="eastAsia" w:hAnsi="宋体"/>
          <w:color w:val="auto"/>
          <w:kern w:val="0"/>
          <w:sz w:val="21"/>
          <w:lang w:val="en-US" w:eastAsia="zh-CN"/>
        </w:rPr>
        <w:t>资格证明文件或商务与技术文件跟报价文件出现混装或在资格证明文件或商务与技术文件中出现投标报价的，或者报价文件中</w:t>
      </w:r>
      <w:r>
        <w:rPr>
          <w:rFonts w:hint="default" w:hAnsi="宋体"/>
          <w:color w:val="auto"/>
          <w:kern w:val="0"/>
          <w:sz w:val="21"/>
        </w:rPr>
        <w:t>的报价货物跟商务与技术内容中的供应货物出现重大偏差的。</w:t>
      </w:r>
    </w:p>
    <w:p>
      <w:pPr>
        <w:pStyle w:val="20"/>
        <w:tabs>
          <w:tab w:val="left" w:pos="7380"/>
        </w:tabs>
        <w:adjustRightInd w:val="0"/>
        <w:snapToGrid w:val="0"/>
        <w:spacing w:before="0" w:beforeAutospacing="0" w:after="0" w:afterAutospacing="0" w:line="360" w:lineRule="auto"/>
        <w:ind w:firstLine="420" w:firstLineChars="200"/>
        <w:rPr>
          <w:rFonts w:hint="default"/>
          <w:color w:val="auto"/>
          <w:sz w:val="21"/>
        </w:rPr>
      </w:pPr>
      <w:r>
        <w:rPr>
          <w:rFonts w:hint="default"/>
          <w:color w:val="auto"/>
          <w:sz w:val="21"/>
        </w:rPr>
        <w:t>2、不具备磋商采购文件中规定的资格要求的。</w:t>
      </w:r>
    </w:p>
    <w:p>
      <w:pPr>
        <w:pStyle w:val="20"/>
        <w:adjustRightInd w:val="0"/>
        <w:snapToGrid w:val="0"/>
        <w:spacing w:before="0" w:beforeAutospacing="0" w:after="0" w:afterAutospacing="0" w:line="360" w:lineRule="auto"/>
        <w:ind w:firstLine="420" w:firstLineChars="200"/>
        <w:rPr>
          <w:rFonts w:hint="default"/>
          <w:color w:val="auto"/>
          <w:sz w:val="21"/>
        </w:rPr>
      </w:pPr>
      <w:r>
        <w:rPr>
          <w:rFonts w:hint="default"/>
          <w:color w:val="auto"/>
          <w:sz w:val="21"/>
        </w:rPr>
        <w:t>3、未实质性响应磋商文件中打“</w:t>
      </w:r>
      <w:r>
        <w:rPr>
          <w:rFonts w:hint="default"/>
          <w:color w:val="auto"/>
          <w:sz w:val="21"/>
          <w:lang w:val="zh-CN"/>
        </w:rPr>
        <w:t>▲</w:t>
      </w:r>
      <w:r>
        <w:rPr>
          <w:rFonts w:hint="default"/>
          <w:color w:val="auto"/>
          <w:sz w:val="21"/>
        </w:rPr>
        <w:t>”条款或者磋商响应文件含有采购人不能接受的附加条件的。</w:t>
      </w:r>
    </w:p>
    <w:p>
      <w:pPr>
        <w:adjustRightInd w:val="0"/>
        <w:snapToGrid w:val="0"/>
        <w:spacing w:line="360" w:lineRule="auto"/>
        <w:ind w:firstLine="420" w:firstLineChars="200"/>
        <w:jc w:val="left"/>
        <w:rPr>
          <w:rFonts w:hint="default" w:hAnsi="宋体"/>
          <w:color w:val="auto"/>
          <w:kern w:val="0"/>
          <w:sz w:val="21"/>
        </w:rPr>
      </w:pPr>
      <w:r>
        <w:rPr>
          <w:rFonts w:hint="default" w:hAnsi="宋体"/>
          <w:color w:val="auto"/>
          <w:kern w:val="0"/>
          <w:sz w:val="21"/>
        </w:rPr>
        <w:t>4</w:t>
      </w:r>
      <w:r>
        <w:rPr>
          <w:rFonts w:hint="default" w:hAnsi="宋体"/>
          <w:color w:val="auto"/>
          <w:sz w:val="21"/>
        </w:rPr>
        <w:t>、磋商响应文件实质性内容填写不全或模糊不清，无法辨认的。</w:t>
      </w:r>
    </w:p>
    <w:p>
      <w:pPr>
        <w:pStyle w:val="20"/>
        <w:adjustRightInd w:val="0"/>
        <w:snapToGrid w:val="0"/>
        <w:spacing w:before="0" w:beforeAutospacing="0" w:after="0" w:afterAutospacing="0" w:line="360" w:lineRule="auto"/>
        <w:ind w:firstLine="420" w:firstLineChars="200"/>
        <w:rPr>
          <w:rFonts w:hint="default"/>
          <w:color w:val="0000FF"/>
          <w:sz w:val="21"/>
        </w:rPr>
      </w:pPr>
      <w:r>
        <w:rPr>
          <w:rFonts w:hint="default"/>
          <w:color w:val="0000FF"/>
          <w:sz w:val="21"/>
        </w:rPr>
        <w:t>5、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20"/>
        <w:adjustRightInd w:val="0"/>
        <w:snapToGrid w:val="0"/>
        <w:spacing w:before="0" w:beforeAutospacing="0" w:after="0" w:afterAutospacing="0" w:line="360" w:lineRule="auto"/>
        <w:ind w:firstLine="420" w:firstLineChars="200"/>
        <w:rPr>
          <w:rFonts w:hint="default"/>
          <w:color w:val="auto"/>
          <w:sz w:val="21"/>
        </w:rPr>
      </w:pPr>
      <w:r>
        <w:rPr>
          <w:rFonts w:hint="default"/>
          <w:color w:val="auto"/>
          <w:sz w:val="21"/>
        </w:rPr>
        <w:t>6、报价超过磋商文件中规定的</w:t>
      </w:r>
      <w:r>
        <w:rPr>
          <w:rFonts w:hint="eastAsia" w:ascii="宋体" w:hAnsi="宋体"/>
          <w:color w:val="000000"/>
          <w:sz w:val="21"/>
          <w:szCs w:val="21"/>
        </w:rPr>
        <w:t>预算金额</w:t>
      </w:r>
      <w:r>
        <w:rPr>
          <w:rFonts w:hint="default"/>
          <w:color w:val="auto"/>
          <w:sz w:val="21"/>
        </w:rPr>
        <w:t>或者最高限价的。</w:t>
      </w:r>
    </w:p>
    <w:p>
      <w:pPr>
        <w:pStyle w:val="20"/>
        <w:adjustRightInd w:val="0"/>
        <w:snapToGrid w:val="0"/>
        <w:spacing w:before="0" w:beforeAutospacing="0" w:after="0" w:afterAutospacing="0" w:line="312" w:lineRule="auto"/>
        <w:ind w:firstLine="420" w:firstLineChars="200"/>
        <w:rPr>
          <w:rFonts w:hint="default"/>
          <w:sz w:val="21"/>
        </w:rPr>
      </w:pPr>
      <w:r>
        <w:rPr>
          <w:rFonts w:hint="default"/>
          <w:sz w:val="21"/>
        </w:rPr>
        <w:t>7、最终报价高于首次报价的；</w:t>
      </w:r>
    </w:p>
    <w:p>
      <w:pPr>
        <w:pStyle w:val="20"/>
        <w:adjustRightInd w:val="0"/>
        <w:snapToGrid w:val="0"/>
        <w:spacing w:before="0" w:beforeAutospacing="0" w:after="0" w:afterAutospacing="0" w:line="312" w:lineRule="auto"/>
        <w:ind w:firstLine="420" w:firstLineChars="200"/>
        <w:rPr>
          <w:rFonts w:hint="default"/>
          <w:sz w:val="21"/>
        </w:rPr>
      </w:pPr>
      <w:r>
        <w:rPr>
          <w:rFonts w:hint="default"/>
          <w:sz w:val="21"/>
        </w:rPr>
        <w:t>8、磋商供应商仅提交备份磋商响应文件的；</w:t>
      </w:r>
    </w:p>
    <w:p>
      <w:pPr>
        <w:pStyle w:val="20"/>
        <w:adjustRightInd w:val="0"/>
        <w:snapToGrid w:val="0"/>
        <w:spacing w:before="0" w:beforeAutospacing="0" w:after="0" w:afterAutospacing="0" w:line="312" w:lineRule="auto"/>
        <w:ind w:firstLine="420" w:firstLineChars="200"/>
        <w:rPr>
          <w:rFonts w:hint="default"/>
          <w:sz w:val="21"/>
        </w:rPr>
      </w:pPr>
      <w:r>
        <w:rPr>
          <w:rFonts w:hint="default"/>
          <w:sz w:val="21"/>
        </w:rPr>
        <w:t>9、电子加密磋商响应文件解密失败或未按时解密的，且未在规定时间内提交备份磋商响应文件的（包括未在解密规定时间内提供备份磋商响应文件解密密码或密码错误的）；</w:t>
      </w:r>
    </w:p>
    <w:p>
      <w:pPr>
        <w:tabs>
          <w:tab w:val="left" w:pos="1898"/>
        </w:tabs>
        <w:autoSpaceDE w:val="0"/>
        <w:autoSpaceDN w:val="0"/>
        <w:adjustRightInd w:val="0"/>
        <w:snapToGrid w:val="0"/>
        <w:spacing w:line="360" w:lineRule="auto"/>
        <w:ind w:firstLine="420" w:firstLineChars="200"/>
        <w:jc w:val="left"/>
        <w:rPr>
          <w:rFonts w:hint="default" w:hAnsi="宋体"/>
          <w:color w:val="auto"/>
          <w:kern w:val="0"/>
          <w:sz w:val="21"/>
        </w:rPr>
      </w:pPr>
      <w:r>
        <w:rPr>
          <w:rFonts w:hint="default" w:ascii="宋体" w:hAnsi="宋体" w:eastAsia="宋体"/>
          <w:color w:val="auto"/>
          <w:kern w:val="0"/>
          <w:sz w:val="21"/>
        </w:rPr>
        <w:t>10</w:t>
      </w:r>
      <w:r>
        <w:rPr>
          <w:rFonts w:hint="default" w:hAnsi="宋体"/>
          <w:color w:val="auto"/>
          <w:kern w:val="0"/>
          <w:sz w:val="21"/>
        </w:rPr>
        <w:t>、磋商参数未如实填写，完全复制粘贴磋商采购参数的。</w:t>
      </w:r>
    </w:p>
    <w:p>
      <w:pPr>
        <w:tabs>
          <w:tab w:val="left" w:pos="1898"/>
        </w:tabs>
        <w:autoSpaceDE w:val="0"/>
        <w:autoSpaceDN w:val="0"/>
        <w:adjustRightInd w:val="0"/>
        <w:snapToGrid w:val="0"/>
        <w:spacing w:line="360" w:lineRule="auto"/>
        <w:ind w:firstLine="420" w:firstLineChars="200"/>
        <w:jc w:val="left"/>
        <w:rPr>
          <w:rFonts w:hint="default" w:hAnsi="宋体"/>
          <w:color w:val="auto"/>
          <w:kern w:val="0"/>
          <w:sz w:val="21"/>
        </w:rPr>
      </w:pPr>
      <w:r>
        <w:rPr>
          <w:rFonts w:hint="default" w:ascii="宋体" w:hAnsi="宋体" w:eastAsia="宋体"/>
          <w:color w:val="auto"/>
          <w:kern w:val="0"/>
          <w:sz w:val="21"/>
        </w:rPr>
        <w:t>11</w:t>
      </w:r>
      <w:r>
        <w:rPr>
          <w:rFonts w:hint="default" w:hAnsi="宋体"/>
          <w:color w:val="auto"/>
          <w:kern w:val="0"/>
          <w:sz w:val="21"/>
        </w:rPr>
        <w:t>、</w:t>
      </w:r>
      <w:r>
        <w:rPr>
          <w:rFonts w:hint="default" w:hAnsi="宋体"/>
          <w:color w:val="auto"/>
          <w:sz w:val="21"/>
        </w:rPr>
        <w:t>磋商响应文件中技术方案不明确，存在一个或一个以上备选（替代）方案的</w:t>
      </w:r>
      <w:r>
        <w:rPr>
          <w:rFonts w:hint="default" w:hAnsi="宋体"/>
          <w:color w:val="auto"/>
          <w:kern w:val="0"/>
          <w:sz w:val="21"/>
        </w:rPr>
        <w:t>。</w:t>
      </w:r>
    </w:p>
    <w:p>
      <w:pPr>
        <w:tabs>
          <w:tab w:val="left" w:pos="1898"/>
        </w:tabs>
        <w:autoSpaceDE w:val="0"/>
        <w:autoSpaceDN w:val="0"/>
        <w:adjustRightInd w:val="0"/>
        <w:snapToGrid w:val="0"/>
        <w:spacing w:line="360" w:lineRule="auto"/>
        <w:ind w:firstLine="420" w:firstLineChars="200"/>
        <w:jc w:val="left"/>
        <w:rPr>
          <w:rFonts w:hint="default" w:hAnsi="宋体"/>
          <w:color w:val="auto"/>
          <w:kern w:val="0"/>
          <w:sz w:val="21"/>
        </w:rPr>
      </w:pPr>
      <w:r>
        <w:rPr>
          <w:rFonts w:hint="default" w:hAnsi="宋体"/>
          <w:color w:val="auto"/>
          <w:kern w:val="0"/>
          <w:sz w:val="21"/>
        </w:rPr>
        <w:t>12、磋商响应文件提供虚假材料的。</w:t>
      </w:r>
    </w:p>
    <w:p>
      <w:pPr>
        <w:autoSpaceDE w:val="0"/>
        <w:autoSpaceDN w:val="0"/>
        <w:adjustRightInd w:val="0"/>
        <w:snapToGrid w:val="0"/>
        <w:spacing w:line="360" w:lineRule="auto"/>
        <w:ind w:firstLine="420" w:firstLineChars="200"/>
        <w:jc w:val="left"/>
        <w:rPr>
          <w:rFonts w:hint="default" w:ascii="宋体" w:hAnsi="宋体" w:eastAsia="宋体"/>
          <w:color w:val="auto"/>
          <w:kern w:val="0"/>
          <w:sz w:val="21"/>
        </w:rPr>
      </w:pPr>
      <w:r>
        <w:rPr>
          <w:rFonts w:hint="default" w:ascii="宋体" w:hAnsi="宋体" w:eastAsia="宋体"/>
          <w:color w:val="auto"/>
          <w:kern w:val="0"/>
          <w:sz w:val="21"/>
        </w:rPr>
        <w:t>13、不同供应商的磋商响应文件由同一单位或者个人编制；</w:t>
      </w:r>
    </w:p>
    <w:p>
      <w:pPr>
        <w:autoSpaceDE w:val="0"/>
        <w:autoSpaceDN w:val="0"/>
        <w:adjustRightInd w:val="0"/>
        <w:snapToGrid w:val="0"/>
        <w:spacing w:line="360" w:lineRule="auto"/>
        <w:ind w:firstLine="420" w:firstLineChars="200"/>
        <w:jc w:val="left"/>
        <w:rPr>
          <w:rFonts w:hint="default" w:ascii="宋体" w:hAnsi="宋体" w:eastAsia="宋体"/>
          <w:color w:val="auto"/>
          <w:kern w:val="0"/>
          <w:sz w:val="21"/>
        </w:rPr>
      </w:pPr>
      <w:r>
        <w:rPr>
          <w:rFonts w:hint="default" w:ascii="宋体" w:hAnsi="宋体" w:eastAsia="宋体"/>
          <w:color w:val="auto"/>
          <w:kern w:val="0"/>
          <w:sz w:val="21"/>
        </w:rPr>
        <w:t>14、不同供应商委托同一单位或者个人办理磋商事宜；</w:t>
      </w:r>
    </w:p>
    <w:p>
      <w:pPr>
        <w:autoSpaceDE w:val="0"/>
        <w:autoSpaceDN w:val="0"/>
        <w:adjustRightInd w:val="0"/>
        <w:snapToGrid w:val="0"/>
        <w:spacing w:line="360" w:lineRule="auto"/>
        <w:ind w:firstLine="420" w:firstLineChars="200"/>
        <w:jc w:val="left"/>
        <w:rPr>
          <w:rFonts w:hint="default" w:ascii="宋体" w:hAnsi="宋体" w:eastAsia="宋体"/>
          <w:color w:val="auto"/>
          <w:kern w:val="0"/>
          <w:sz w:val="21"/>
        </w:rPr>
      </w:pPr>
      <w:r>
        <w:rPr>
          <w:rFonts w:hint="default" w:ascii="宋体" w:hAnsi="宋体" w:eastAsia="宋体"/>
          <w:color w:val="auto"/>
          <w:kern w:val="0"/>
          <w:sz w:val="21"/>
        </w:rPr>
        <w:t>15、不同供应商的磋商响应文件载明的项目管理成员或者联系人员为同一人；</w:t>
      </w:r>
    </w:p>
    <w:p>
      <w:pPr>
        <w:autoSpaceDE w:val="0"/>
        <w:autoSpaceDN w:val="0"/>
        <w:adjustRightInd w:val="0"/>
        <w:snapToGrid w:val="0"/>
        <w:spacing w:line="360" w:lineRule="auto"/>
        <w:ind w:firstLine="420" w:firstLineChars="200"/>
        <w:jc w:val="left"/>
        <w:rPr>
          <w:rFonts w:hint="default" w:ascii="宋体" w:hAnsi="宋体" w:eastAsia="宋体"/>
          <w:color w:val="auto"/>
          <w:kern w:val="0"/>
          <w:sz w:val="21"/>
        </w:rPr>
      </w:pPr>
      <w:r>
        <w:rPr>
          <w:rFonts w:hint="default" w:ascii="宋体" w:hAnsi="宋体" w:eastAsia="宋体"/>
          <w:color w:val="auto"/>
          <w:kern w:val="0"/>
          <w:sz w:val="21"/>
        </w:rPr>
        <w:t>16、不同供应商的磋商响应文件异常一致或者报价呈规律性差异；</w:t>
      </w:r>
    </w:p>
    <w:p>
      <w:pPr>
        <w:autoSpaceDE w:val="0"/>
        <w:autoSpaceDN w:val="0"/>
        <w:adjustRightInd w:val="0"/>
        <w:snapToGrid w:val="0"/>
        <w:spacing w:beforeLines="0" w:afterLines="0" w:line="360" w:lineRule="auto"/>
        <w:ind w:firstLine="420" w:firstLineChars="200"/>
        <w:jc w:val="left"/>
        <w:rPr>
          <w:rFonts w:hint="eastAsia" w:ascii="宋体" w:hAnsi="宋体"/>
          <w:color w:val="000000"/>
          <w:kern w:val="0"/>
          <w:sz w:val="21"/>
        </w:rPr>
      </w:pPr>
      <w:r>
        <w:rPr>
          <w:rFonts w:hint="default" w:ascii="宋体" w:hAnsi="宋体" w:eastAsia="宋体"/>
          <w:color w:val="auto"/>
          <w:kern w:val="0"/>
          <w:sz w:val="21"/>
        </w:rPr>
        <w:t>17、不符合法律、法规和磋商采购文件中规定的其他实质性要求的（磋商采购文件中打“▲”内容及被拒绝的条款）</w:t>
      </w:r>
      <w:r>
        <w:rPr>
          <w:rFonts w:hint="eastAsia" w:ascii="宋体" w:hAnsi="宋体"/>
          <w:color w:val="000000"/>
          <w:kern w:val="0"/>
          <w:sz w:val="21"/>
        </w:rPr>
        <w:t>。</w:t>
      </w:r>
    </w:p>
    <w:p>
      <w:pPr>
        <w:autoSpaceDE w:val="0"/>
        <w:autoSpaceDN w:val="0"/>
        <w:adjustRightInd w:val="0"/>
        <w:snapToGrid w:val="0"/>
        <w:spacing w:beforeLines="0" w:afterLines="0" w:line="240" w:lineRule="auto"/>
        <w:ind w:firstLine="420" w:firstLineChars="200"/>
        <w:jc w:val="left"/>
        <w:rPr>
          <w:rFonts w:hint="eastAsia" w:ascii="宋体" w:hAnsi="宋体"/>
          <w:color w:val="auto"/>
          <w:kern w:val="0"/>
          <w:sz w:val="21"/>
        </w:rPr>
      </w:pPr>
      <w:r>
        <w:rPr>
          <w:rFonts w:hint="eastAsia" w:ascii="宋体" w:hAnsi="宋体"/>
          <w:b/>
          <w:color w:val="auto"/>
          <w:kern w:val="0"/>
          <w:sz w:val="21"/>
        </w:rPr>
        <w:t>（</w:t>
      </w:r>
      <w:r>
        <w:rPr>
          <w:rFonts w:hint="eastAsia" w:ascii="宋体" w:hAnsi="宋体"/>
          <w:b/>
          <w:color w:val="auto"/>
          <w:kern w:val="0"/>
          <w:sz w:val="21"/>
          <w:lang w:val="en-US" w:eastAsia="zh-CN"/>
        </w:rPr>
        <w:t>七</w:t>
      </w:r>
      <w:r>
        <w:rPr>
          <w:rFonts w:hint="eastAsia" w:ascii="宋体" w:hAnsi="宋体"/>
          <w:b/>
          <w:color w:val="auto"/>
          <w:kern w:val="0"/>
          <w:sz w:val="21"/>
        </w:rPr>
        <w:t>）有下列情况之一的，本次磋商终止。</w:t>
      </w:r>
    </w:p>
    <w:p>
      <w:pPr>
        <w:autoSpaceDE w:val="0"/>
        <w:autoSpaceDN w:val="0"/>
        <w:spacing w:line="240" w:lineRule="auto"/>
        <w:ind w:firstLine="420" w:firstLineChars="200"/>
        <w:textAlignment w:val="bottom"/>
        <w:rPr>
          <w:rFonts w:hint="eastAsia" w:ascii="宋体" w:hAnsi="宋体"/>
          <w:color w:val="auto"/>
          <w:sz w:val="21"/>
          <w:szCs w:val="21"/>
        </w:rPr>
      </w:pPr>
      <w:r>
        <w:rPr>
          <w:rFonts w:hint="eastAsia" w:ascii="宋体" w:hAnsi="宋体"/>
          <w:color w:val="auto"/>
          <w:sz w:val="21"/>
          <w:szCs w:val="21"/>
        </w:rPr>
        <w:t>（1）</w:t>
      </w:r>
      <w:r>
        <w:rPr>
          <w:rFonts w:ascii="宋体" w:hAnsi="宋体"/>
          <w:color w:val="auto"/>
          <w:sz w:val="21"/>
          <w:szCs w:val="21"/>
        </w:rPr>
        <w:t>出现影响采购公正的违法、违规</w:t>
      </w:r>
      <w:r>
        <w:rPr>
          <w:rFonts w:hint="eastAsia" w:ascii="宋体" w:hAnsi="宋体"/>
          <w:color w:val="auto"/>
          <w:sz w:val="21"/>
          <w:szCs w:val="21"/>
        </w:rPr>
        <w:t>、欺骗行为</w:t>
      </w:r>
      <w:r>
        <w:rPr>
          <w:rFonts w:ascii="宋体" w:hAnsi="宋体"/>
          <w:color w:val="auto"/>
          <w:sz w:val="21"/>
          <w:szCs w:val="21"/>
        </w:rPr>
        <w:t>的；</w:t>
      </w:r>
    </w:p>
    <w:p>
      <w:pPr>
        <w:autoSpaceDE w:val="0"/>
        <w:autoSpaceDN w:val="0"/>
        <w:spacing w:line="240" w:lineRule="auto"/>
        <w:ind w:firstLine="420" w:firstLineChars="200"/>
        <w:textAlignment w:val="bottom"/>
        <w:rPr>
          <w:rFonts w:hint="eastAsia" w:ascii="宋体" w:hAnsi="宋体"/>
          <w:color w:val="auto"/>
          <w:sz w:val="21"/>
          <w:szCs w:val="21"/>
        </w:rPr>
      </w:pPr>
      <w:r>
        <w:rPr>
          <w:rFonts w:hint="eastAsia" w:ascii="宋体" w:hAnsi="宋体"/>
          <w:color w:val="auto"/>
          <w:sz w:val="21"/>
          <w:szCs w:val="21"/>
        </w:rPr>
        <w:t>（2）</w:t>
      </w:r>
      <w:r>
        <w:rPr>
          <w:rFonts w:ascii="宋体" w:hAnsi="宋体"/>
          <w:color w:val="auto"/>
          <w:sz w:val="21"/>
          <w:szCs w:val="21"/>
        </w:rPr>
        <w:t>因重大变故，采购任务取消的；</w:t>
      </w:r>
    </w:p>
    <w:p>
      <w:pPr>
        <w:autoSpaceDE w:val="0"/>
        <w:autoSpaceDN w:val="0"/>
        <w:adjustRightInd w:val="0"/>
        <w:spacing w:line="360" w:lineRule="auto"/>
        <w:ind w:firstLine="420" w:firstLineChars="200"/>
        <w:rPr>
          <w:rFonts w:hint="eastAsia"/>
          <w:color w:val="auto"/>
          <w:sz w:val="21"/>
        </w:rPr>
      </w:pPr>
      <w:r>
        <w:rPr>
          <w:rFonts w:hint="eastAsia" w:ascii="宋体" w:hAnsi="宋体"/>
          <w:color w:val="auto"/>
          <w:sz w:val="21"/>
          <w:szCs w:val="21"/>
        </w:rPr>
        <w:t>（3）提交</w:t>
      </w:r>
      <w:r>
        <w:rPr>
          <w:rFonts w:hint="eastAsia" w:ascii="宋体" w:hAnsi="宋体"/>
          <w:color w:val="auto"/>
          <w:sz w:val="21"/>
          <w:szCs w:val="21"/>
          <w:lang w:val="en-US" w:eastAsia="zh-CN"/>
        </w:rPr>
        <w:t>磋商响应</w:t>
      </w:r>
      <w:r>
        <w:rPr>
          <w:rFonts w:hint="eastAsia" w:ascii="宋体" w:hAnsi="宋体"/>
          <w:color w:val="auto"/>
          <w:sz w:val="21"/>
          <w:szCs w:val="21"/>
        </w:rPr>
        <w:t>文件供应商或符合资格条件供应商或实质性响应供应商不足三家的。</w:t>
      </w:r>
    </w:p>
    <w:p>
      <w:pPr>
        <w:pStyle w:val="20"/>
        <w:snapToGrid w:val="0"/>
        <w:spacing w:before="0" w:beforeAutospacing="0" w:after="0" w:afterAutospacing="0" w:line="312" w:lineRule="auto"/>
        <w:ind w:firstLine="420" w:firstLineChars="200"/>
        <w:jc w:val="both"/>
        <w:rPr>
          <w:color w:val="000000"/>
          <w:sz w:val="21"/>
          <w:szCs w:val="21"/>
        </w:rPr>
      </w:pPr>
      <w:r>
        <w:rPr>
          <w:rFonts w:hint="eastAsia" w:ascii="宋体" w:hAnsi="宋体"/>
          <w:color w:val="auto"/>
          <w:sz w:val="21"/>
          <w:szCs w:val="21"/>
        </w:rPr>
        <w:t>（</w:t>
      </w:r>
      <w:r>
        <w:rPr>
          <w:rFonts w:hint="eastAsia" w:eastAsia="宋体"/>
          <w:color w:val="auto"/>
          <w:sz w:val="21"/>
          <w:szCs w:val="21"/>
          <w:lang w:val="en-US" w:eastAsia="zh-CN"/>
        </w:rPr>
        <w:t>4</w:t>
      </w:r>
      <w:r>
        <w:rPr>
          <w:rFonts w:hint="eastAsia" w:ascii="宋体" w:hAnsi="宋体"/>
          <w:color w:val="auto"/>
          <w:sz w:val="21"/>
          <w:szCs w:val="21"/>
        </w:rPr>
        <w:t>）</w:t>
      </w:r>
      <w:r>
        <w:rPr>
          <w:color w:val="000000"/>
          <w:sz w:val="21"/>
          <w:szCs w:val="21"/>
        </w:rPr>
        <w:t>法律、法规和磋商文件规定的其他导致评审结果无效的。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beforeLines="0" w:afterLines="0" w:line="360" w:lineRule="auto"/>
        <w:ind w:right="25" w:firstLine="420" w:firstLineChars="200"/>
        <w:jc w:val="left"/>
        <w:rPr>
          <w:rFonts w:hint="eastAsia" w:ascii="宋体" w:hAnsi="宋体"/>
          <w:b/>
          <w:color w:val="auto"/>
          <w:kern w:val="0"/>
          <w:sz w:val="21"/>
        </w:rPr>
      </w:pPr>
      <w:r>
        <w:rPr>
          <w:rFonts w:hint="eastAsia" w:ascii="宋体" w:hAnsi="宋体"/>
          <w:b/>
          <w:color w:val="auto"/>
          <w:kern w:val="0"/>
          <w:sz w:val="21"/>
        </w:rPr>
        <w:t>（</w:t>
      </w:r>
      <w:r>
        <w:rPr>
          <w:rFonts w:hint="eastAsia" w:ascii="宋体" w:hAnsi="宋体"/>
          <w:b/>
          <w:color w:val="auto"/>
          <w:kern w:val="0"/>
          <w:sz w:val="21"/>
          <w:lang w:val="en-US" w:eastAsia="zh-CN"/>
        </w:rPr>
        <w:t>八</w:t>
      </w:r>
      <w:r>
        <w:rPr>
          <w:rFonts w:hint="eastAsia" w:ascii="宋体" w:hAnsi="宋体"/>
          <w:b/>
          <w:color w:val="auto"/>
          <w:kern w:val="0"/>
          <w:sz w:val="21"/>
        </w:rPr>
        <w:t>）磋商原则和方法</w:t>
      </w:r>
    </w:p>
    <w:p>
      <w:pPr>
        <w:pStyle w:val="10"/>
        <w:snapToGrid w:val="0"/>
        <w:spacing w:beforeLines="0" w:afterLines="0" w:line="360" w:lineRule="auto"/>
        <w:ind w:firstLine="525" w:firstLineChars="250"/>
        <w:rPr>
          <w:rFonts w:hint="eastAsia" w:hAnsi="宋体"/>
          <w:color w:val="auto"/>
          <w:sz w:val="21"/>
        </w:rPr>
      </w:pPr>
      <w:r>
        <w:rPr>
          <w:rFonts w:hint="eastAsia" w:hAnsi="宋体"/>
          <w:color w:val="auto"/>
          <w:sz w:val="21"/>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0"/>
        <w:snapToGrid w:val="0"/>
        <w:spacing w:beforeLines="0" w:afterLines="0" w:line="360" w:lineRule="auto"/>
        <w:ind w:firstLine="525" w:firstLineChars="250"/>
        <w:rPr>
          <w:rFonts w:hint="eastAsia" w:hAnsi="宋体"/>
          <w:color w:val="auto"/>
          <w:sz w:val="21"/>
        </w:rPr>
      </w:pPr>
      <w:r>
        <w:rPr>
          <w:rFonts w:hint="eastAsia" w:hAnsi="宋体"/>
          <w:color w:val="auto"/>
          <w:sz w:val="21"/>
        </w:rPr>
        <w:t>2、磋商办法。具体磋商内容及评分标准等详见《评审方法及评分标准》。</w:t>
      </w:r>
    </w:p>
    <w:p>
      <w:pPr>
        <w:pStyle w:val="10"/>
        <w:snapToGrid w:val="0"/>
        <w:spacing w:beforeLines="0" w:afterLines="0" w:line="360" w:lineRule="auto"/>
        <w:ind w:firstLine="420" w:firstLineChars="200"/>
        <w:rPr>
          <w:rFonts w:hint="eastAsia" w:hAnsi="宋体"/>
          <w:color w:val="auto"/>
          <w:sz w:val="21"/>
        </w:rPr>
      </w:pPr>
      <w:r>
        <w:rPr>
          <w:rFonts w:hint="eastAsia" w:hAnsi="宋体"/>
          <w:b/>
          <w:color w:val="auto"/>
          <w:sz w:val="21"/>
        </w:rPr>
        <w:t>（</w:t>
      </w:r>
      <w:r>
        <w:rPr>
          <w:rFonts w:hint="eastAsia" w:hAnsi="宋体" w:eastAsia="宋体"/>
          <w:b/>
          <w:color w:val="auto"/>
          <w:sz w:val="21"/>
          <w:lang w:val="en-US" w:eastAsia="zh-CN"/>
        </w:rPr>
        <w:t>九</w:t>
      </w:r>
      <w:r>
        <w:rPr>
          <w:rFonts w:hint="eastAsia" w:hAnsi="宋体"/>
          <w:b/>
          <w:color w:val="auto"/>
          <w:sz w:val="21"/>
        </w:rPr>
        <w:t>）评审过程的监控</w:t>
      </w:r>
    </w:p>
    <w:p>
      <w:pPr>
        <w:pStyle w:val="20"/>
        <w:snapToGrid w:val="0"/>
        <w:spacing w:before="0" w:beforeLines="0" w:beforeAutospacing="0" w:after="0" w:afterLines="0" w:afterAutospacing="0" w:line="360" w:lineRule="auto"/>
        <w:ind w:firstLine="420" w:firstLineChars="200"/>
        <w:jc w:val="both"/>
        <w:rPr>
          <w:rFonts w:hint="eastAsia"/>
          <w:color w:val="auto"/>
          <w:sz w:val="21"/>
        </w:rPr>
      </w:pPr>
      <w:r>
        <w:rPr>
          <w:rFonts w:hint="eastAsia"/>
          <w:color w:val="auto"/>
          <w:sz w:val="21"/>
        </w:rPr>
        <w:t>本项目评审过程实行全程录音、录像监控，政府采购监管部门视情进行现场监督，供应商在评审过程中所进行的试图影响评审结果的不公正活动，可能导致其被拒绝磋商。</w:t>
      </w:r>
    </w:p>
    <w:p>
      <w:pPr>
        <w:pStyle w:val="20"/>
        <w:snapToGrid w:val="0"/>
        <w:spacing w:before="0" w:beforeLines="0" w:beforeAutospacing="0" w:after="0" w:afterLines="0" w:afterAutospacing="0" w:line="360" w:lineRule="auto"/>
        <w:ind w:firstLine="420" w:firstLineChars="200"/>
        <w:jc w:val="left"/>
        <w:rPr>
          <w:rFonts w:hint="eastAsia"/>
          <w:color w:val="auto"/>
          <w:sz w:val="21"/>
        </w:rPr>
      </w:pPr>
      <w:r>
        <w:rPr>
          <w:rFonts w:hint="eastAsia"/>
          <w:b/>
          <w:color w:val="auto"/>
          <w:sz w:val="21"/>
        </w:rPr>
        <w:t>五、磋商结果确定</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2、发布成交结果公告。采购组织机构应当在成交供应商确定后2个工作日内，在省级以上财政部门指定的政府采购信息发布媒体及相关网站上公告成交结果，并将磋商文件随同公告。</w:t>
      </w:r>
    </w:p>
    <w:p>
      <w:pPr>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3、发出成交通知书。采购组织机构在发布成交结果同时，向成交供应商发出成交通知书。</w:t>
      </w:r>
    </w:p>
    <w:p>
      <w:pPr>
        <w:snapToGrid w:val="0"/>
        <w:spacing w:beforeLines="0" w:afterLines="0" w:line="360" w:lineRule="auto"/>
        <w:ind w:firstLine="420" w:firstLineChars="200"/>
        <w:rPr>
          <w:rFonts w:hint="eastAsia" w:ascii="宋体" w:hAnsi="宋体"/>
          <w:b/>
          <w:color w:val="auto"/>
          <w:kern w:val="0"/>
          <w:sz w:val="21"/>
        </w:rPr>
      </w:pPr>
      <w:r>
        <w:rPr>
          <w:rFonts w:hint="eastAsia" w:ascii="宋体" w:hAnsi="宋体"/>
          <w:b/>
          <w:color w:val="auto"/>
          <w:kern w:val="0"/>
          <w:sz w:val="21"/>
        </w:rPr>
        <w:t>六、合同签订及公告</w:t>
      </w:r>
    </w:p>
    <w:p>
      <w:pPr>
        <w:pStyle w:val="9"/>
        <w:snapToGrid w:val="0"/>
        <w:spacing w:beforeLines="0" w:after="0" w:afterLines="0" w:line="360" w:lineRule="auto"/>
        <w:ind w:firstLine="422" w:firstLineChars="200"/>
        <w:rPr>
          <w:rFonts w:hint="eastAsia" w:ascii="宋体" w:hAnsi="宋体" w:eastAsia="宋体" w:cs="宋体"/>
          <w:b/>
          <w:color w:val="auto"/>
          <w:sz w:val="21"/>
        </w:rPr>
      </w:pPr>
      <w:r>
        <w:rPr>
          <w:rFonts w:hint="eastAsia" w:ascii="宋体" w:hAnsi="宋体" w:eastAsia="宋体" w:cs="宋体"/>
          <w:b/>
          <w:color w:val="auto"/>
          <w:sz w:val="21"/>
        </w:rPr>
        <w:t>（一）签订合同</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1、采购人应当自成交通知书发出之日起30日内，按照磋商采购文件确定的合同文本以及采购标的、规格型号、采购金额、采购数量和服务要求等事项签订政府采购合同。</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3、成交供应商无故拖延、拒签合同的,取消成交资格。</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5、询问或者质疑事项可能影响成交结果的，采购人应当暂停签订合同，已经签订合同的，应当中止履行合同（成交结果的质疑期为成交结果公告期限届满之日起七个工作日）。</w:t>
      </w:r>
    </w:p>
    <w:p>
      <w:pPr>
        <w:pStyle w:val="20"/>
        <w:snapToGrid w:val="0"/>
        <w:spacing w:before="0" w:beforeLines="0" w:beforeAutospacing="0" w:after="0" w:afterLines="0" w:afterAutospacing="0" w:line="360" w:lineRule="auto"/>
        <w:ind w:firstLine="525" w:firstLineChars="250"/>
        <w:jc w:val="both"/>
        <w:rPr>
          <w:rFonts w:hint="eastAsia"/>
          <w:b/>
          <w:color w:val="auto"/>
          <w:sz w:val="21"/>
        </w:rPr>
      </w:pPr>
      <w:r>
        <w:rPr>
          <w:rFonts w:hint="eastAsia"/>
          <w:b/>
          <w:color w:val="auto"/>
          <w:sz w:val="21"/>
        </w:rPr>
        <w:t>（二）合同公告及备案</w:t>
      </w:r>
    </w:p>
    <w:p>
      <w:pPr>
        <w:pStyle w:val="20"/>
        <w:snapToGrid w:val="0"/>
        <w:spacing w:before="0" w:beforeLines="0" w:beforeAutospacing="0" w:after="0" w:afterLines="0" w:afterAutospacing="0" w:line="360" w:lineRule="auto"/>
        <w:ind w:firstLine="525" w:firstLineChars="250"/>
        <w:jc w:val="both"/>
        <w:rPr>
          <w:rFonts w:hint="eastAsia" w:ascii="宋体" w:hAnsi="宋体" w:eastAsia="宋体" w:cs="宋体"/>
          <w:b/>
          <w:color w:val="auto"/>
          <w:sz w:val="30"/>
          <w:szCs w:val="30"/>
          <w:lang w:eastAsia="zh-CN"/>
        </w:rPr>
      </w:pPr>
      <w:r>
        <w:rPr>
          <w:rFonts w:hint="eastAsia"/>
          <w:color w:val="auto"/>
          <w:sz w:val="21"/>
        </w:rPr>
        <w:t>采购人应当自政府采购合同签订之日起2个工作日内，在省级以上财政部门指定的政府采购信息发布媒体及相关网站上公告。</w:t>
      </w:r>
      <w:bookmarkEnd w:id="27"/>
      <w:bookmarkStart w:id="58" w:name="_Toc306901457"/>
      <w:bookmarkStart w:id="59" w:name="_Toc173810699"/>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beforeLines="0" w:afterLines="0" w:line="360" w:lineRule="auto"/>
        <w:ind w:firstLine="454"/>
        <w:rPr>
          <w:rFonts w:hint="eastAsia" w:ascii="宋体" w:hAnsi="宋体"/>
          <w:b/>
          <w:sz w:val="21"/>
        </w:rPr>
      </w:pPr>
      <w:r>
        <w:rPr>
          <w:rFonts w:hint="eastAsia" w:ascii="宋体" w:hAnsi="宋体"/>
          <w:b/>
          <w:sz w:val="21"/>
          <w:lang w:val="en-US" w:eastAsia="zh-CN"/>
        </w:rPr>
        <w:t>七、</w:t>
      </w:r>
      <w:r>
        <w:rPr>
          <w:rFonts w:hint="eastAsia" w:ascii="宋体" w:hAnsi="宋体"/>
          <w:b/>
          <w:sz w:val="21"/>
        </w:rPr>
        <w:t>中标服务费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val="0"/>
        <w:spacing w:line="240" w:lineRule="auto"/>
        <w:ind w:firstLine="454"/>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1、中标（成交）人须在领取中标（成交）通知书的同时按如下标准和规定一次性向代理机构交纳中标服务费。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val="0"/>
        <w:spacing w:line="360" w:lineRule="auto"/>
        <w:ind w:firstLine="454"/>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2、本项目采购代理服务费由中标人支付，以中标价为计算基数，</w:t>
      </w:r>
      <w:r>
        <w:rPr>
          <w:rFonts w:hint="default" w:ascii="宋体" w:hAnsi="宋体" w:eastAsia="宋体" w:cs="宋体"/>
          <w:b w:val="0"/>
          <w:bCs w:val="0"/>
          <w:color w:val="auto"/>
          <w:sz w:val="21"/>
          <w:szCs w:val="21"/>
          <w:highlight w:val="none"/>
          <w:lang w:val="en-US" w:eastAsia="zh-CN"/>
        </w:rPr>
        <w:t>按以下</w:t>
      </w:r>
      <w:r>
        <w:rPr>
          <w:rFonts w:hint="eastAsia" w:ascii="宋体" w:hAnsi="宋体" w:eastAsia="宋体" w:cs="宋体"/>
          <w:b w:val="0"/>
          <w:bCs w:val="0"/>
          <w:color w:val="auto"/>
          <w:sz w:val="21"/>
          <w:szCs w:val="21"/>
          <w:highlight w:val="none"/>
          <w:lang w:val="en-US" w:eastAsia="zh-CN"/>
        </w:rPr>
        <w:t>工程</w:t>
      </w:r>
      <w:r>
        <w:rPr>
          <w:rFonts w:hint="default" w:ascii="宋体" w:hAnsi="宋体" w:eastAsia="宋体" w:cs="宋体"/>
          <w:b w:val="0"/>
          <w:bCs w:val="0"/>
          <w:color w:val="auto"/>
          <w:sz w:val="21"/>
          <w:szCs w:val="21"/>
          <w:highlight w:val="none"/>
          <w:lang w:val="en-US" w:eastAsia="zh-CN"/>
        </w:rPr>
        <w:t>类标准费率计算值的</w:t>
      </w:r>
      <w:r>
        <w:rPr>
          <w:rFonts w:hint="default" w:ascii="宋体" w:hAnsi="宋体" w:eastAsia="宋体" w:cs="宋体"/>
          <w:b w:val="0"/>
          <w:bCs w:val="0"/>
          <w:color w:val="auto"/>
          <w:sz w:val="21"/>
          <w:szCs w:val="21"/>
          <w:highlight w:val="none"/>
          <w:u w:val="single"/>
          <w:lang w:val="en-US" w:eastAsia="zh-CN"/>
        </w:rPr>
        <w:t> </w:t>
      </w:r>
      <w:r>
        <w:rPr>
          <w:rFonts w:hint="eastAsia" w:ascii="宋体" w:hAnsi="宋体" w:eastAsia="宋体" w:cs="宋体"/>
          <w:b w:val="0"/>
          <w:bCs w:val="0"/>
          <w:color w:val="auto"/>
          <w:sz w:val="21"/>
          <w:szCs w:val="21"/>
          <w:highlight w:val="none"/>
          <w:u w:val="single"/>
          <w:lang w:val="en-US" w:eastAsia="zh-CN"/>
        </w:rPr>
        <w:t>7</w:t>
      </w:r>
      <w:r>
        <w:rPr>
          <w:rFonts w:hint="default" w:ascii="宋体" w:hAnsi="宋体" w:eastAsia="宋体" w:cs="宋体"/>
          <w:b w:val="0"/>
          <w:bCs w:val="0"/>
          <w:color w:val="auto"/>
          <w:sz w:val="21"/>
          <w:szCs w:val="21"/>
          <w:highlight w:val="none"/>
          <w:u w:val="single"/>
          <w:lang w:val="en-US" w:eastAsia="zh-CN"/>
        </w:rPr>
        <w:t> </w:t>
      </w:r>
      <w:r>
        <w:rPr>
          <w:rFonts w:hint="default" w:ascii="宋体" w:hAnsi="宋体" w:eastAsia="宋体" w:cs="宋体"/>
          <w:b w:val="0"/>
          <w:bCs w:val="0"/>
          <w:color w:val="auto"/>
          <w:sz w:val="21"/>
          <w:szCs w:val="21"/>
          <w:highlight w:val="none"/>
          <w:lang w:val="en-US" w:eastAsia="zh-CN"/>
        </w:rPr>
        <w:t>折收取</w:t>
      </w:r>
      <w:r>
        <w:rPr>
          <w:rFonts w:hint="eastAsia" w:ascii="宋体" w:hAnsi="宋体" w:eastAsia="宋体" w:cs="宋体"/>
          <w:b w:val="0"/>
          <w:bCs w:val="0"/>
          <w:color w:val="auto"/>
          <w:sz w:val="21"/>
          <w:szCs w:val="21"/>
          <w:highlight w:val="none"/>
          <w:lang w:val="en-US" w:eastAsia="zh-CN"/>
        </w:rPr>
        <w:t>（不足4000元按4000元计取），费率标准如下：</w:t>
      </w:r>
    </w:p>
    <w:tbl>
      <w:tblPr>
        <w:tblStyle w:val="24"/>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1894"/>
        <w:gridCol w:w="1894"/>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金额（万元）</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货物类费率</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服务类费率</w:t>
            </w:r>
          </w:p>
        </w:tc>
        <w:tc>
          <w:tcPr>
            <w:tcW w:w="1895"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工程类费率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100以下部分</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1.5%</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1.5%</w:t>
            </w:r>
          </w:p>
        </w:tc>
        <w:tc>
          <w:tcPr>
            <w:tcW w:w="1895"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100~500之间部分</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1.1%</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0.8%</w:t>
            </w:r>
          </w:p>
        </w:tc>
        <w:tc>
          <w:tcPr>
            <w:tcW w:w="1895"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57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z w:val="21"/>
                <w:szCs w:val="21"/>
              </w:rPr>
              <w:t>500-1000</w:t>
            </w:r>
            <w:r>
              <w:rPr>
                <w:rFonts w:hint="default" w:ascii="Times New Roman" w:hAnsi="Times New Roman"/>
                <w:snapToGrid w:val="0"/>
                <w:kern w:val="0"/>
                <w:sz w:val="21"/>
                <w:szCs w:val="21"/>
                <w:lang w:val="en-US" w:eastAsia="zh-CN"/>
              </w:rPr>
              <w:t>之间部分</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0.8%</w:t>
            </w:r>
          </w:p>
        </w:tc>
        <w:tc>
          <w:tcPr>
            <w:tcW w:w="1894"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0.45%</w:t>
            </w:r>
          </w:p>
        </w:tc>
        <w:tc>
          <w:tcPr>
            <w:tcW w:w="1895" w:type="dxa"/>
            <w:noWrap w:val="0"/>
            <w:vAlign w:val="center"/>
          </w:tcPr>
          <w:p>
            <w:pPr>
              <w:pStyle w:val="65"/>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snapToGrid w:val="0"/>
                <w:kern w:val="0"/>
                <w:sz w:val="21"/>
                <w:szCs w:val="21"/>
                <w:lang w:val="en-US" w:eastAsia="zh-CN"/>
              </w:rPr>
            </w:pPr>
            <w:r>
              <w:rPr>
                <w:rFonts w:hint="default" w:ascii="Times New Roman" w:hAnsi="Times New Roman"/>
                <w:snapToGrid w:val="0"/>
                <w:kern w:val="0"/>
                <w:sz w:val="21"/>
                <w:szCs w:val="21"/>
                <w:lang w:val="en-US" w:eastAsia="zh-CN"/>
              </w:rPr>
              <w:t>0.55%</w:t>
            </w:r>
          </w:p>
        </w:tc>
      </w:tr>
    </w:tbl>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lang w:eastAsia="zh-CN"/>
        </w:rPr>
        <w:t>第四部分</w:t>
      </w:r>
      <w:r>
        <w:rPr>
          <w:rFonts w:hint="eastAsia" w:ascii="宋体" w:hAnsi="宋体" w:eastAsia="宋体" w:cs="宋体"/>
          <w:b/>
          <w:color w:val="auto"/>
          <w:sz w:val="30"/>
          <w:szCs w:val="30"/>
          <w:lang w:val="en-US" w:eastAsia="zh-CN"/>
        </w:rPr>
        <w:t xml:space="preserve">   </w:t>
      </w:r>
      <w:r>
        <w:rPr>
          <w:rFonts w:hint="eastAsia" w:ascii="宋体" w:hAnsi="宋体" w:eastAsia="宋体" w:cs="宋体"/>
          <w:b/>
          <w:color w:val="auto"/>
          <w:sz w:val="30"/>
          <w:szCs w:val="30"/>
        </w:rPr>
        <w:t>评标办法及评分标准</w:t>
      </w:r>
      <w:bookmarkEnd w:id="58"/>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b/>
          <w:i/>
          <w:color w:val="auto"/>
          <w:sz w:val="21"/>
        </w:rPr>
      </w:pPr>
      <w:r>
        <w:rPr>
          <w:rFonts w:hint="default" w:ascii="宋体" w:hAnsi="宋体" w:eastAsia="宋体"/>
          <w:color w:val="auto"/>
          <w:sz w:val="21"/>
        </w:rPr>
        <w:t xml:space="preserve">一、采购组织机构将组织磋商小组，对供应商提供的磋商响应文件进行综合评审。   </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color w:val="auto"/>
          <w:sz w:val="21"/>
        </w:rPr>
        <w:t>二、本次磋商项目的评审方法为</w:t>
      </w:r>
      <w:r>
        <w:rPr>
          <w:rFonts w:hint="default" w:ascii="宋体" w:hAnsi="宋体" w:eastAsia="宋体"/>
          <w:b/>
          <w:color w:val="auto"/>
          <w:sz w:val="21"/>
        </w:rPr>
        <w:t>综合评分法</w:t>
      </w:r>
      <w:r>
        <w:rPr>
          <w:rFonts w:hint="default" w:ascii="宋体" w:hAnsi="宋体" w:eastAsia="宋体"/>
          <w:color w:val="auto"/>
          <w:sz w:val="21"/>
        </w:rPr>
        <w:t>，总计100分</w:t>
      </w:r>
      <w:r>
        <w:rPr>
          <w:rFonts w:hint="default" w:ascii="宋体" w:hAnsi="宋体" w:eastAsia="宋体"/>
          <w:color w:val="auto"/>
          <w:sz w:val="21"/>
          <w:lang w:val="zh-CN"/>
        </w:rPr>
        <w:t>(商务与技术文件为</w:t>
      </w:r>
      <w:r>
        <w:rPr>
          <w:rFonts w:hint="eastAsia" w:ascii="宋体" w:hAnsi="宋体" w:eastAsia="宋体"/>
          <w:b/>
          <w:color w:val="auto"/>
          <w:sz w:val="21"/>
          <w:lang w:val="en-US" w:eastAsia="zh-CN"/>
        </w:rPr>
        <w:t>60</w:t>
      </w:r>
      <w:r>
        <w:rPr>
          <w:rFonts w:hint="default" w:ascii="宋体" w:hAnsi="宋体" w:eastAsia="宋体"/>
          <w:color w:val="auto"/>
          <w:sz w:val="21"/>
          <w:lang w:val="zh-CN"/>
        </w:rPr>
        <w:t>分，报价文件为</w:t>
      </w:r>
      <w:r>
        <w:rPr>
          <w:rFonts w:hint="eastAsia" w:ascii="宋体" w:hAnsi="宋体" w:eastAsia="宋体"/>
          <w:b/>
          <w:color w:val="auto"/>
          <w:sz w:val="21"/>
          <w:lang w:val="en-US" w:eastAsia="zh-CN"/>
        </w:rPr>
        <w:t>40</w:t>
      </w:r>
      <w:r>
        <w:rPr>
          <w:rFonts w:hint="default" w:ascii="宋体" w:hAnsi="宋体" w:eastAsia="宋体"/>
          <w:color w:val="auto"/>
          <w:sz w:val="21"/>
          <w:lang w:val="zh-CN"/>
        </w:rPr>
        <w:t>分)</w:t>
      </w:r>
      <w:r>
        <w:rPr>
          <w:rFonts w:hint="default" w:ascii="宋体" w:hAnsi="宋体" w:eastAsia="宋体"/>
          <w:color w:val="auto"/>
          <w:sz w:val="21"/>
        </w:rPr>
        <w:t>。</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color w:val="auto"/>
          <w:sz w:val="21"/>
        </w:rPr>
        <w:t>（一）商务与技术文件中的客观分由磋商小组讨论后统一打分；其余在规定的分值内单独评定打分。</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color w:val="auto"/>
          <w:sz w:val="21"/>
        </w:rPr>
        <w:t>（二）各磋商供应商商务与技术文件得分按照磋商小组成员的独立评分结果汇总后的算术平均分计算，计算公式为：</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color w:val="auto"/>
          <w:sz w:val="21"/>
        </w:rPr>
        <w:t>商务与技术文件得分=磋商小组所有成员评分合计数/磋商小组组成人员数。</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b w:val="0"/>
          <w:bCs/>
          <w:color w:val="000000"/>
          <w:sz w:val="21"/>
          <w:lang w:val="zh-CN"/>
        </w:rPr>
        <w:t>（三）</w:t>
      </w:r>
      <w:r>
        <w:rPr>
          <w:rFonts w:hint="default" w:ascii="宋体" w:hAnsi="宋体" w:eastAsia="宋体"/>
          <w:b w:val="0"/>
          <w:bCs/>
          <w:color w:val="auto"/>
          <w:sz w:val="21"/>
        </w:rPr>
        <w:t>综合</w:t>
      </w:r>
      <w:r>
        <w:rPr>
          <w:rFonts w:hint="default" w:ascii="宋体" w:hAnsi="宋体" w:eastAsia="宋体"/>
          <w:color w:val="auto"/>
          <w:sz w:val="21"/>
        </w:rPr>
        <w:t>评分法中的价格分统一采用低价优先法计算，即满足磋商文件要求且最终报价最低的供应商的价格作为磋商基准价，其报价得满分。其他供应商的价格分统一按照下列公式计算：</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sz w:val="36"/>
        </w:rPr>
      </w:pPr>
      <w:r>
        <w:rPr>
          <w:rFonts w:hint="default" w:ascii="宋体" w:hAnsi="宋体" w:eastAsia="宋体"/>
          <w:color w:val="auto"/>
          <w:sz w:val="21"/>
        </w:rPr>
        <w:t>磋商报价得分=(磋商基准价／最终磋商报价)×</w:t>
      </w:r>
      <w:r>
        <w:rPr>
          <w:rFonts w:hint="eastAsia" w:ascii="宋体" w:hAnsi="宋体" w:eastAsia="宋体"/>
          <w:color w:val="auto"/>
          <w:sz w:val="21"/>
          <w:lang w:val="en-US" w:eastAsia="zh-CN"/>
        </w:rPr>
        <w:t>40</w:t>
      </w:r>
      <w:r>
        <w:rPr>
          <w:rFonts w:hint="default" w:ascii="宋体" w:hAnsi="宋体" w:eastAsia="宋体"/>
          <w:color w:val="auto"/>
          <w:sz w:val="21"/>
        </w:rPr>
        <w:t>%×100 。</w:t>
      </w:r>
    </w:p>
    <w:p>
      <w:pPr>
        <w:keepNext w:val="0"/>
        <w:keepLines w:val="0"/>
        <w:pageBreakBefore w:val="0"/>
        <w:widowControl w:val="0"/>
        <w:kinsoku/>
        <w:wordWrap/>
        <w:overflowPunct/>
        <w:topLinePunct w:val="0"/>
        <w:bidi w:val="0"/>
        <w:snapToGrid w:val="0"/>
        <w:spacing w:beforeLines="0" w:afterLines="0" w:line="350" w:lineRule="exact"/>
        <w:ind w:firstLine="420" w:firstLineChars="200"/>
        <w:textAlignment w:val="auto"/>
        <w:rPr>
          <w:rFonts w:hint="default" w:ascii="宋体" w:hAnsi="宋体" w:eastAsia="宋体"/>
          <w:color w:val="auto"/>
          <w:sz w:val="21"/>
        </w:rPr>
      </w:pPr>
      <w:r>
        <w:rPr>
          <w:rFonts w:hint="default" w:ascii="宋体" w:hAnsi="宋体" w:eastAsia="宋体"/>
          <w:color w:val="auto"/>
          <w:sz w:val="21"/>
        </w:rPr>
        <w:t>注：评分过程中采用四舍五入法，并保留小数2位（以政采云系统计算为准）。</w:t>
      </w:r>
    </w:p>
    <w:p>
      <w:pPr>
        <w:keepNext w:val="0"/>
        <w:keepLines w:val="0"/>
        <w:pageBreakBefore w:val="0"/>
        <w:widowControl w:val="0"/>
        <w:kinsoku/>
        <w:wordWrap/>
        <w:overflowPunct/>
        <w:topLinePunct w:val="0"/>
        <w:bidi w:val="0"/>
        <w:snapToGrid w:val="0"/>
        <w:spacing w:beforeLines="0" w:afterLines="0" w:line="350" w:lineRule="exact"/>
        <w:ind w:firstLine="420"/>
        <w:textAlignment w:val="auto"/>
        <w:rPr>
          <w:rFonts w:hint="default" w:ascii="宋体" w:hAnsi="宋体" w:eastAsia="宋体"/>
          <w:color w:val="auto"/>
          <w:sz w:val="21"/>
        </w:rPr>
      </w:pPr>
      <w:r>
        <w:rPr>
          <w:rFonts w:hint="default" w:ascii="宋体" w:hAnsi="宋体" w:eastAsia="宋体"/>
          <w:color w:val="auto"/>
          <w:sz w:val="21"/>
        </w:rPr>
        <w:t>三、在最大限度地满足磋商文件实质性要求前提下，磋商小组按照磋商文件中规定的各项因素进行综合评审后，以评审总得分最高的供应商为成交候选供应商。</w:t>
      </w:r>
    </w:p>
    <w:p>
      <w:pPr>
        <w:keepNext w:val="0"/>
        <w:keepLines w:val="0"/>
        <w:pageBreakBefore w:val="0"/>
        <w:widowControl w:val="0"/>
        <w:kinsoku/>
        <w:wordWrap/>
        <w:overflowPunct/>
        <w:topLinePunct w:val="0"/>
        <w:autoSpaceDE w:val="0"/>
        <w:autoSpaceDN w:val="0"/>
        <w:bidi w:val="0"/>
        <w:adjustRightInd w:val="0"/>
        <w:snapToGrid w:val="0"/>
        <w:spacing w:beforeLines="0" w:afterLines="0" w:line="350" w:lineRule="exact"/>
        <w:ind w:firstLine="315" w:firstLineChars="150"/>
        <w:textAlignment w:val="auto"/>
        <w:rPr>
          <w:rFonts w:hint="default"/>
          <w:sz w:val="36"/>
        </w:rPr>
      </w:pPr>
      <w:r>
        <w:rPr>
          <w:rFonts w:hint="default" w:ascii="宋体" w:hAnsi="宋体" w:eastAsia="宋体"/>
          <w:color w:val="auto"/>
          <w:sz w:val="21"/>
        </w:rPr>
        <w:t xml:space="preserve">四、按评审后综合得分由高到低顺序排列。综合得分相同的，按磋商报价由低到高顺序排列；综合得分且磋商报价相同的，按技术分得分由高到低顺序排列。排名第一的供应商为第一中标候选人，排名第二的供应商为第二中标候选人，并以此类推（如有效供应商超过三家，原则上推荐三家）。    </w:t>
      </w:r>
    </w:p>
    <w:p>
      <w:pPr>
        <w:keepNext w:val="0"/>
        <w:keepLines w:val="0"/>
        <w:pageBreakBefore w:val="0"/>
        <w:widowControl w:val="0"/>
        <w:kinsoku/>
        <w:wordWrap/>
        <w:overflowPunct/>
        <w:topLinePunct w:val="0"/>
        <w:autoSpaceDE w:val="0"/>
        <w:autoSpaceDN w:val="0"/>
        <w:bidi w:val="0"/>
        <w:adjustRightInd w:val="0"/>
        <w:snapToGrid w:val="0"/>
        <w:spacing w:line="350" w:lineRule="exact"/>
        <w:ind w:firstLine="315" w:firstLineChars="150"/>
        <w:textAlignment w:val="auto"/>
        <w:rPr>
          <w:rFonts w:hint="eastAsia"/>
        </w:rPr>
      </w:pPr>
      <w:r>
        <w:rPr>
          <w:rFonts w:hint="eastAsia" w:ascii="宋体" w:hAnsi="宋体" w:eastAsia="宋体" w:cs="宋体"/>
          <w:color w:val="auto"/>
          <w:sz w:val="21"/>
          <w:szCs w:val="21"/>
        </w:rPr>
        <w:t>五、本次评分具体分值细化条款如下表:</w:t>
      </w:r>
    </w:p>
    <w:bookmarkEnd w:id="59"/>
    <w:tbl>
      <w:tblPr>
        <w:tblStyle w:val="24"/>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30"/>
        <w:gridCol w:w="627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73"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bookmarkStart w:id="60" w:name="_Toc306901461"/>
            <w:r>
              <w:rPr>
                <w:rFonts w:hint="eastAsia" w:ascii="宋体" w:hAnsi="宋体" w:eastAsia="宋体" w:cs="宋体"/>
                <w:b/>
                <w:bCs/>
                <w:sz w:val="21"/>
                <w:szCs w:val="21"/>
              </w:rPr>
              <w:t>序号</w:t>
            </w:r>
          </w:p>
        </w:tc>
        <w:tc>
          <w:tcPr>
            <w:tcW w:w="1730" w:type="dxa"/>
            <w:vAlign w:val="center"/>
          </w:tcPr>
          <w:p>
            <w:pPr>
              <w:pStyle w:val="18"/>
              <w:keepNext w:val="0"/>
              <w:keepLines w:val="0"/>
              <w:suppressLineNumbers w:val="0"/>
              <w:spacing w:before="0" w:beforeAutospacing="0" w:after="0" w:afterAutospacing="0"/>
              <w:ind w:left="0" w:leftChars="0" w:right="0"/>
              <w:jc w:val="center"/>
              <w:rPr>
                <w:rFonts w:hint="default" w:ascii="宋体" w:hAnsi="宋体" w:eastAsia="宋体" w:cs="宋体"/>
                <w:b/>
                <w:bCs/>
                <w:sz w:val="21"/>
                <w:szCs w:val="21"/>
              </w:rPr>
            </w:pPr>
            <w:r>
              <w:rPr>
                <w:rFonts w:hint="eastAsia" w:ascii="宋体" w:hAnsi="宋体" w:eastAsia="宋体" w:cs="宋体"/>
                <w:b/>
                <w:bCs/>
                <w:sz w:val="21"/>
                <w:szCs w:val="21"/>
              </w:rPr>
              <w:t>评审内容</w:t>
            </w:r>
          </w:p>
        </w:tc>
        <w:tc>
          <w:tcPr>
            <w:tcW w:w="6276" w:type="dxa"/>
            <w:vAlign w:val="center"/>
          </w:tcPr>
          <w:p>
            <w:pPr>
              <w:pStyle w:val="18"/>
              <w:keepNext w:val="0"/>
              <w:keepLines w:val="0"/>
              <w:suppressLineNumbers w:val="0"/>
              <w:spacing w:before="0" w:beforeAutospacing="0" w:after="0" w:afterAutospacing="0"/>
              <w:ind w:left="720" w:right="0" w:firstLine="482"/>
              <w:jc w:val="center"/>
              <w:rPr>
                <w:rFonts w:hint="default" w:ascii="宋体" w:hAnsi="宋体" w:eastAsia="宋体" w:cs="宋体"/>
                <w:b/>
                <w:bCs/>
                <w:sz w:val="21"/>
                <w:szCs w:val="21"/>
              </w:rPr>
            </w:pPr>
            <w:r>
              <w:rPr>
                <w:rFonts w:hint="eastAsia" w:ascii="宋体" w:hAnsi="宋体" w:eastAsia="宋体" w:cs="宋体"/>
                <w:b/>
                <w:bCs/>
                <w:sz w:val="21"/>
                <w:szCs w:val="21"/>
              </w:rPr>
              <w:t>评分标准</w:t>
            </w:r>
          </w:p>
        </w:tc>
        <w:tc>
          <w:tcPr>
            <w:tcW w:w="1119" w:type="dxa"/>
            <w:vAlign w:val="center"/>
          </w:tcPr>
          <w:p>
            <w:pPr>
              <w:pStyle w:val="18"/>
              <w:keepNext w:val="0"/>
              <w:keepLines w:val="0"/>
              <w:suppressLineNumbers w:val="0"/>
              <w:spacing w:before="0" w:beforeAutospacing="0" w:after="0" w:afterAutospacing="0"/>
              <w:ind w:left="0" w:leftChars="0" w:right="0"/>
              <w:jc w:val="center"/>
              <w:rPr>
                <w:rFonts w:hint="default"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8779" w:type="dxa"/>
            <w:gridSpan w:val="3"/>
            <w:vAlign w:val="center"/>
          </w:tcPr>
          <w:p>
            <w:pPr>
              <w:pStyle w:val="18"/>
              <w:keepNext w:val="0"/>
              <w:keepLines w:val="0"/>
              <w:suppressLineNumbers w:val="0"/>
              <w:spacing w:before="0" w:beforeAutospacing="0" w:afterAutospacing="0"/>
              <w:ind w:left="720" w:right="0"/>
              <w:jc w:val="center"/>
              <w:rPr>
                <w:rFonts w:hint="default" w:ascii="宋体" w:hAnsi="宋体" w:eastAsia="宋体" w:cs="宋体"/>
                <w:b/>
                <w:sz w:val="21"/>
                <w:szCs w:val="21"/>
              </w:rPr>
            </w:pPr>
            <w:r>
              <w:rPr>
                <w:rFonts w:hint="eastAsia" w:ascii="宋体" w:hAnsi="宋体" w:eastAsia="宋体" w:cs="宋体"/>
                <w:b/>
                <w:sz w:val="21"/>
                <w:szCs w:val="21"/>
              </w:rPr>
              <w:t>一、</w:t>
            </w:r>
            <w:r>
              <w:rPr>
                <w:rFonts w:hint="eastAsia" w:ascii="宋体" w:hAnsi="宋体" w:eastAsia="宋体" w:cs="宋体"/>
                <w:b/>
                <w:bCs/>
                <w:sz w:val="21"/>
                <w:szCs w:val="21"/>
              </w:rPr>
              <w:t>商务资信分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
                <w:sz w:val="21"/>
                <w:szCs w:val="21"/>
              </w:rPr>
            </w:pPr>
            <w:r>
              <w:rPr>
                <w:rFonts w:hint="eastAsia" w:ascii="宋体" w:hAnsi="宋体" w:eastAsia="宋体" w:cs="宋体"/>
                <w:b/>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73"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1</w:t>
            </w:r>
          </w:p>
        </w:tc>
        <w:tc>
          <w:tcPr>
            <w:tcW w:w="1730" w:type="dxa"/>
            <w:vAlign w:val="center"/>
          </w:tcPr>
          <w:p>
            <w:pPr>
              <w:pStyle w:val="18"/>
              <w:keepNext w:val="0"/>
              <w:keepLines w:val="0"/>
              <w:suppressLineNumbers w:val="0"/>
              <w:spacing w:before="0" w:beforeAutospacing="0" w:afterAutospacing="0"/>
              <w:ind w:left="0" w:leftChars="0" w:right="0" w:firstLine="420" w:firstLineChars="200"/>
              <w:rPr>
                <w:rFonts w:hint="default" w:ascii="宋体" w:hAnsi="宋体" w:eastAsia="宋体" w:cs="宋体"/>
                <w:sz w:val="21"/>
                <w:szCs w:val="21"/>
              </w:rPr>
            </w:pPr>
            <w:r>
              <w:rPr>
                <w:rFonts w:hint="eastAsia" w:ascii="宋体" w:hAnsi="宋体" w:eastAsia="宋体" w:cs="宋体"/>
                <w:sz w:val="21"/>
                <w:szCs w:val="21"/>
              </w:rPr>
              <w:t>标书质量</w:t>
            </w:r>
          </w:p>
        </w:tc>
        <w:tc>
          <w:tcPr>
            <w:tcW w:w="6276" w:type="dxa"/>
            <w:vAlign w:val="center"/>
          </w:tcPr>
          <w:p>
            <w:pPr>
              <w:keepNext w:val="0"/>
              <w:keepLines w:val="0"/>
              <w:suppressLineNumbers w:val="0"/>
              <w:spacing w:before="0" w:beforeAutospacing="0" w:after="0" w:afterAutospacing="0"/>
              <w:ind w:left="0" w:right="0"/>
              <w:rPr>
                <w:rFonts w:hint="default" w:ascii="宋体" w:hAnsi="宋体" w:eastAsia="宋体" w:cs="宋体"/>
                <w:b/>
                <w:sz w:val="21"/>
                <w:szCs w:val="21"/>
              </w:rPr>
            </w:pPr>
            <w:r>
              <w:rPr>
                <w:rFonts w:hint="eastAsia" w:ascii="宋体" w:hAnsi="宋体"/>
                <w:sz w:val="21"/>
                <w:szCs w:val="21"/>
              </w:rPr>
              <w:t>根据磋商响应文件编制是否完整、电子磋商响应文件关联点设置是否定位准确、磋商响应文件内容简洁明确程度及针对性等情况酌情评分，最高得2分；磋商响应文件有关内容前后矛盾、与采购文件要求不一致等，评审小组允许且需要通过询标等程序进行澄清的，该项不得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73"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2</w:t>
            </w:r>
          </w:p>
        </w:tc>
        <w:tc>
          <w:tcPr>
            <w:tcW w:w="1730" w:type="dxa"/>
            <w:vMerge w:val="restart"/>
            <w:vAlign w:val="center"/>
          </w:tcPr>
          <w:p>
            <w:pPr>
              <w:pStyle w:val="18"/>
              <w:keepNext w:val="0"/>
              <w:keepLines w:val="0"/>
              <w:suppressLineNumbers w:val="0"/>
              <w:spacing w:before="0" w:beforeAutospacing="0" w:afterAutospacing="0"/>
              <w:ind w:left="0" w:leftChars="0" w:right="0" w:firstLine="630" w:firstLineChars="300"/>
              <w:jc w:val="left"/>
              <w:rPr>
                <w:rFonts w:hint="default" w:ascii="宋体" w:hAnsi="宋体" w:eastAsia="宋体" w:cs="宋体"/>
                <w:sz w:val="21"/>
                <w:szCs w:val="21"/>
              </w:rPr>
            </w:pPr>
            <w:r>
              <w:rPr>
                <w:rFonts w:hint="eastAsia" w:ascii="宋体" w:hAnsi="宋体" w:eastAsia="宋体" w:cs="宋体"/>
                <w:sz w:val="21"/>
                <w:szCs w:val="21"/>
              </w:rPr>
              <w:t>业绩</w:t>
            </w:r>
          </w:p>
        </w:tc>
        <w:tc>
          <w:tcPr>
            <w:tcW w:w="6276" w:type="dxa"/>
            <w:vAlign w:val="center"/>
          </w:tcPr>
          <w:p>
            <w:pPr>
              <w:keepNext w:val="0"/>
              <w:keepLines w:val="0"/>
              <w:suppressLineNumbers w:val="0"/>
              <w:spacing w:before="0" w:beforeAutospacing="0" w:after="0" w:afterAutospacing="0"/>
              <w:ind w:left="0" w:right="0"/>
              <w:rPr>
                <w:rFonts w:hint="default" w:ascii="宋体" w:hAnsi="宋体"/>
                <w:sz w:val="21"/>
                <w:szCs w:val="21"/>
              </w:rPr>
            </w:pPr>
            <w:r>
              <w:rPr>
                <w:rFonts w:hint="eastAsia" w:ascii="宋体" w:hAnsi="宋体" w:eastAsia="宋体" w:cs="宋体"/>
                <w:sz w:val="21"/>
                <w:szCs w:val="21"/>
              </w:rPr>
              <w:t>供应商</w:t>
            </w:r>
            <w:r>
              <w:rPr>
                <w:rFonts w:hint="eastAsia" w:ascii="宋体" w:hAnsi="宋体"/>
                <w:sz w:val="21"/>
                <w:szCs w:val="21"/>
              </w:rPr>
              <w:t>自202</w:t>
            </w:r>
            <w:r>
              <w:rPr>
                <w:rFonts w:hint="eastAsia" w:ascii="宋体" w:hAnsi="宋体" w:eastAsiaTheme="minorEastAsia"/>
                <w:sz w:val="21"/>
                <w:szCs w:val="21"/>
              </w:rPr>
              <w:t>1</w:t>
            </w:r>
            <w:r>
              <w:rPr>
                <w:rFonts w:hint="eastAsia" w:ascii="宋体" w:hAnsi="宋体"/>
                <w:sz w:val="21"/>
                <w:szCs w:val="21"/>
              </w:rPr>
              <w:t>年</w:t>
            </w:r>
            <w:r>
              <w:rPr>
                <w:rFonts w:hint="eastAsia" w:ascii="宋体" w:hAnsi="宋体" w:eastAsiaTheme="minorEastAsia"/>
                <w:sz w:val="21"/>
                <w:szCs w:val="21"/>
              </w:rPr>
              <w:t>1</w:t>
            </w:r>
            <w:r>
              <w:rPr>
                <w:rFonts w:hint="eastAsia" w:ascii="宋体" w:hAnsi="宋体"/>
                <w:sz w:val="21"/>
                <w:szCs w:val="21"/>
              </w:rPr>
              <w:t>月1日（以合同签订时间为准）以来，承担过类似项目施工业绩的，每项得1分，最高得</w:t>
            </w:r>
            <w:r>
              <w:rPr>
                <w:rFonts w:hint="eastAsia" w:ascii="宋体" w:hAnsi="宋体" w:eastAsiaTheme="minorEastAsia"/>
                <w:sz w:val="21"/>
                <w:szCs w:val="21"/>
              </w:rPr>
              <w:t>1</w:t>
            </w:r>
            <w:r>
              <w:rPr>
                <w:rFonts w:hint="eastAsia" w:ascii="宋体" w:hAnsi="宋体"/>
                <w:sz w:val="21"/>
                <w:szCs w:val="21"/>
              </w:rPr>
              <w:t>分。</w:t>
            </w:r>
          </w:p>
          <w:p>
            <w:pPr>
              <w:keepNext w:val="0"/>
              <w:keepLines w:val="0"/>
              <w:suppressLineNumbers w:val="0"/>
              <w:spacing w:before="0" w:beforeAutospacing="0" w:after="0" w:afterAutospacing="0"/>
              <w:ind w:left="0" w:right="0"/>
              <w:rPr>
                <w:rFonts w:hint="default" w:ascii="宋体" w:hAnsi="宋体" w:eastAsia="宋体" w:cs="宋体"/>
                <w:b/>
                <w:bCs/>
                <w:sz w:val="21"/>
                <w:szCs w:val="21"/>
              </w:rPr>
            </w:pPr>
            <w:r>
              <w:rPr>
                <w:rFonts w:hint="eastAsia" w:ascii="宋体" w:hAnsi="宋体" w:eastAsia="宋体" w:cs="宋体"/>
                <w:b/>
                <w:bCs/>
                <w:sz w:val="21"/>
                <w:szCs w:val="21"/>
              </w:rPr>
              <w:t>注：</w:t>
            </w:r>
            <w:r>
              <w:rPr>
                <w:rFonts w:hint="eastAsia" w:ascii="宋体" w:hAnsi="宋体" w:eastAsia="宋体" w:cs="宋体"/>
                <w:b/>
                <w:bCs w:val="0"/>
                <w:color w:val="auto"/>
                <w:kern w:val="2"/>
                <w:sz w:val="21"/>
                <w:szCs w:val="21"/>
                <w:highlight w:val="none"/>
                <w:lang w:val="en-US" w:eastAsia="zh-CN" w:bidi="ar-SA"/>
              </w:rPr>
              <w:t>须提供的资料有：①合同（只需提供首页、清晰表明项目内容的页以及盖章页）；②提供中标通知书（必须有招标监管机构或项目的招标单位盖章）；③竣工验收记录（或交工验收证书或竣工验收证书），上述①②③项的资料扫描件或复印件或打印件或网页截图须编入商务与技术标中，三者缺一不可，否则不得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73"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p>
        </w:tc>
        <w:tc>
          <w:tcPr>
            <w:tcW w:w="1730" w:type="dxa"/>
            <w:vMerge w:val="continue"/>
            <w:vAlign w:val="center"/>
          </w:tcPr>
          <w:p>
            <w:pPr>
              <w:pStyle w:val="18"/>
              <w:keepNext w:val="0"/>
              <w:keepLines w:val="0"/>
              <w:suppressLineNumbers w:val="0"/>
              <w:spacing w:before="0" w:beforeAutospacing="0" w:afterAutospacing="0"/>
              <w:ind w:left="0" w:leftChars="0" w:right="0" w:firstLine="420" w:firstLineChars="200"/>
              <w:jc w:val="left"/>
              <w:rPr>
                <w:rFonts w:hint="default" w:ascii="宋体" w:hAnsi="宋体" w:cs="宋体"/>
                <w:sz w:val="21"/>
                <w:szCs w:val="21"/>
              </w:rPr>
            </w:pPr>
          </w:p>
        </w:tc>
        <w:tc>
          <w:tcPr>
            <w:tcW w:w="6276" w:type="dxa"/>
            <w:vAlign w:val="center"/>
          </w:tcPr>
          <w:p>
            <w:pPr>
              <w:keepNext w:val="0"/>
              <w:keepLines w:val="0"/>
              <w:suppressLineNumbers w:val="0"/>
              <w:spacing w:before="0" w:beforeAutospacing="0" w:after="0" w:afterAutospacing="0"/>
              <w:ind w:left="0" w:right="0"/>
              <w:rPr>
                <w:rFonts w:hint="default" w:ascii="宋体" w:hAnsi="宋体" w:eastAsia="宋体" w:cs="宋体"/>
                <w:sz w:val="21"/>
                <w:szCs w:val="21"/>
              </w:rPr>
            </w:pPr>
            <w:r>
              <w:rPr>
                <w:rFonts w:hint="eastAsia" w:ascii="宋体" w:hAnsi="宋体" w:eastAsia="宋体" w:cs="宋体"/>
                <w:sz w:val="21"/>
                <w:szCs w:val="21"/>
              </w:rPr>
              <w:t>供应商拟派项目经理自2021年1月1日</w:t>
            </w:r>
            <w:r>
              <w:rPr>
                <w:rFonts w:hint="eastAsia" w:ascii="宋体" w:hAnsi="宋体"/>
                <w:sz w:val="21"/>
                <w:szCs w:val="21"/>
              </w:rPr>
              <w:t>（以合同签订时间为准）</w:t>
            </w:r>
            <w:r>
              <w:rPr>
                <w:rFonts w:hint="eastAsia" w:ascii="宋体" w:hAnsi="宋体" w:eastAsia="宋体" w:cs="宋体"/>
                <w:sz w:val="21"/>
                <w:szCs w:val="21"/>
              </w:rPr>
              <w:t>以来,完成过</w:t>
            </w:r>
            <w:r>
              <w:rPr>
                <w:rFonts w:hint="eastAsia" w:ascii="宋体" w:hAnsi="宋体"/>
                <w:sz w:val="21"/>
                <w:szCs w:val="21"/>
              </w:rPr>
              <w:t>类似项目</w:t>
            </w:r>
            <w:r>
              <w:rPr>
                <w:rFonts w:hint="eastAsia" w:ascii="宋体" w:hAnsi="宋体" w:eastAsia="宋体" w:cs="宋体"/>
                <w:sz w:val="21"/>
                <w:szCs w:val="21"/>
              </w:rPr>
              <w:t>施工业绩，每项得1分，最高得1分。</w:t>
            </w:r>
          </w:p>
          <w:p>
            <w:pPr>
              <w:keepNext w:val="0"/>
              <w:keepLines w:val="0"/>
              <w:suppressLineNumbers w:val="0"/>
              <w:spacing w:before="0" w:beforeAutospacing="0" w:after="0" w:afterAutospacing="0"/>
              <w:ind w:left="0" w:right="0"/>
              <w:rPr>
                <w:rFonts w:hint="default" w:ascii="宋体" w:hAnsi="宋体" w:eastAsia="宋体" w:cs="宋体"/>
                <w:b/>
                <w:bCs/>
                <w:sz w:val="21"/>
                <w:szCs w:val="21"/>
              </w:rPr>
            </w:pPr>
            <w:r>
              <w:rPr>
                <w:rFonts w:hint="eastAsia" w:ascii="宋体" w:hAnsi="宋体" w:eastAsia="宋体" w:cs="宋体"/>
                <w:b/>
                <w:bCs/>
                <w:sz w:val="21"/>
                <w:szCs w:val="21"/>
              </w:rPr>
              <w:t>注：须提供的资料有：①合同（只需提供首页、清晰表明项目内容的页以及盖章页）；②提供中标通知书（必须有招标监管机构或项目的招标单位盖章）；③竣工验收记录（或交工验收证书或竣工验收证书），上述①②③项的资料扫描件或复印件或打印件或网页截图须编入商务与技术标中，三者缺一不可，否则不得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773"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3</w:t>
            </w:r>
          </w:p>
        </w:tc>
        <w:tc>
          <w:tcPr>
            <w:tcW w:w="1730" w:type="dxa"/>
            <w:vMerge w:val="restart"/>
            <w:vAlign w:val="center"/>
          </w:tcPr>
          <w:p>
            <w:pPr>
              <w:pStyle w:val="18"/>
              <w:keepNext w:val="0"/>
              <w:keepLines w:val="0"/>
              <w:suppressLineNumbers w:val="0"/>
              <w:spacing w:before="0" w:beforeAutospacing="0" w:afterAutospacing="0"/>
              <w:ind w:left="0" w:leftChars="0" w:right="0"/>
              <w:jc w:val="center"/>
              <w:rPr>
                <w:rFonts w:hint="default" w:ascii="宋体" w:hAnsi="宋体" w:cs="宋体"/>
                <w:sz w:val="21"/>
                <w:szCs w:val="21"/>
              </w:rPr>
            </w:pPr>
            <w:r>
              <w:rPr>
                <w:rFonts w:hint="eastAsia" w:ascii="宋体" w:hAnsi="宋体" w:cs="宋体"/>
                <w:sz w:val="21"/>
                <w:szCs w:val="21"/>
              </w:rPr>
              <w:t>项目组人员实力</w:t>
            </w:r>
          </w:p>
        </w:tc>
        <w:tc>
          <w:tcPr>
            <w:tcW w:w="62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项目组的人员除《项目组人员配备情况表》表中</w:t>
            </w:r>
            <w:r>
              <w:rPr>
                <w:rFonts w:hint="eastAsia" w:ascii="宋体" w:hAnsi="宋体" w:eastAsia="宋体" w:cs="宋体"/>
                <w:b/>
                <w:bCs/>
                <w:color w:val="auto"/>
                <w:kern w:val="2"/>
                <w:sz w:val="21"/>
                <w:szCs w:val="21"/>
                <w:highlight w:val="none"/>
                <w:lang w:val="en-US" w:eastAsia="zh-CN" w:bidi="ar-SA"/>
              </w:rPr>
              <w:t>项目经理、项目技术负责人、安全负责人</w:t>
            </w:r>
            <w:r>
              <w:rPr>
                <w:rFonts w:hint="eastAsia" w:ascii="宋体" w:hAnsi="宋体" w:eastAsia="宋体" w:cs="宋体"/>
                <w:b w:val="0"/>
                <w:bCs/>
                <w:color w:val="auto"/>
                <w:kern w:val="2"/>
                <w:sz w:val="21"/>
                <w:szCs w:val="21"/>
                <w:highlight w:val="none"/>
                <w:lang w:val="en-US" w:eastAsia="zh-CN" w:bidi="ar-SA"/>
              </w:rPr>
              <w:t>外，另行配备1名试验员的，</w:t>
            </w:r>
            <w:r>
              <w:rPr>
                <w:rFonts w:hint="eastAsia" w:cs="Times New Roman"/>
                <w:b w:val="0"/>
                <w:bCs/>
                <w:color w:val="auto"/>
                <w:kern w:val="2"/>
                <w:sz w:val="21"/>
                <w:szCs w:val="21"/>
                <w:highlight w:val="none"/>
                <w:lang w:val="en-US" w:eastAsia="zh-CN" w:bidi="ar-SA"/>
              </w:rPr>
              <w:t>得2分，</w:t>
            </w:r>
            <w:r>
              <w:rPr>
                <w:rFonts w:hint="default" w:ascii="Times New Roman" w:hAnsi="Times New Roman" w:eastAsia="宋体" w:cs="Times New Roman"/>
                <w:b/>
                <w:bCs w:val="0"/>
                <w:color w:val="auto"/>
                <w:kern w:val="2"/>
                <w:sz w:val="21"/>
                <w:szCs w:val="21"/>
                <w:highlight w:val="none"/>
                <w:lang w:val="en-US" w:eastAsia="zh-CN" w:bidi="ar-SA"/>
              </w:rPr>
              <w:t>该项</w:t>
            </w:r>
            <w:r>
              <w:rPr>
                <w:rFonts w:hint="eastAsia" w:cs="Times New Roman"/>
                <w:b/>
                <w:bCs w:val="0"/>
                <w:color w:val="auto"/>
                <w:kern w:val="2"/>
                <w:sz w:val="21"/>
                <w:szCs w:val="21"/>
                <w:highlight w:val="none"/>
                <w:lang w:val="en-US" w:eastAsia="zh-CN" w:bidi="ar-SA"/>
              </w:rPr>
              <w:t>最高得2分</w:t>
            </w:r>
            <w:r>
              <w:rPr>
                <w:rFonts w:hint="eastAsia" w:ascii="宋体" w:hAnsi="宋体" w:eastAsia="宋体" w:cs="宋体"/>
                <w:b/>
                <w:bCs w:val="0"/>
                <w:color w:val="auto"/>
                <w:kern w:val="2"/>
                <w:sz w:val="21"/>
                <w:szCs w:val="21"/>
                <w:highlight w:val="none"/>
                <w:lang w:val="en-US" w:eastAsia="zh-CN" w:bidi="ar-SA"/>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firstLine="0" w:firstLineChars="0"/>
              <w:jc w:val="both"/>
              <w:textAlignment w:val="auto"/>
              <w:rPr>
                <w:rFonts w:hint="default" w:ascii="宋体" w:hAnsi="宋体" w:eastAsia="宋体" w:cs="宋体"/>
                <w:b/>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注：试验员须提供岗位证书或培训证书或其他相关证明材料复印件及投标截止时间前3个月内任意一个月的在本单位社保缴纳证明复印件编入</w:t>
            </w:r>
            <w:r>
              <w:rPr>
                <w:rFonts w:hint="eastAsia" w:ascii="宋体" w:hAnsi="宋体" w:eastAsia="宋体" w:cs="宋体"/>
                <w:b/>
                <w:color w:val="auto"/>
                <w:kern w:val="0"/>
                <w:sz w:val="21"/>
                <w:szCs w:val="21"/>
                <w:highlight w:val="none"/>
                <w:lang w:val="zh-CN"/>
              </w:rPr>
              <w:t>商务与技术文件中</w:t>
            </w:r>
            <w:r>
              <w:rPr>
                <w:rFonts w:hint="eastAsia" w:ascii="宋体" w:hAnsi="宋体" w:eastAsia="宋体" w:cs="宋体"/>
                <w:b/>
                <w:bCs w:val="0"/>
                <w:color w:val="auto"/>
                <w:kern w:val="2"/>
                <w:sz w:val="21"/>
                <w:szCs w:val="21"/>
                <w:highlight w:val="none"/>
                <w:lang w:val="en-US" w:eastAsia="zh-CN" w:bidi="ar-SA"/>
              </w:rPr>
              <w:t>，否则不得分。</w:t>
            </w:r>
          </w:p>
        </w:tc>
        <w:tc>
          <w:tcPr>
            <w:tcW w:w="1119" w:type="dxa"/>
            <w:vAlign w:val="center"/>
          </w:tcPr>
          <w:p>
            <w:pPr>
              <w:pStyle w:val="18"/>
              <w:keepNext w:val="0"/>
              <w:keepLines w:val="0"/>
              <w:pageBreakBefore w:val="0"/>
              <w:suppressLineNumbers w:val="0"/>
              <w:kinsoku/>
              <w:wordWrap/>
              <w:overflowPunct/>
              <w:topLinePunct w:val="0"/>
              <w:autoSpaceDE/>
              <w:autoSpaceDN/>
              <w:bidi w:val="0"/>
              <w:adjustRightInd/>
              <w:snapToGrid/>
              <w:spacing w:before="0" w:beforeAutospacing="0" w:afterAutospacing="0" w:line="340" w:lineRule="exact"/>
              <w:ind w:left="0" w:leftChars="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773"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c>
          <w:tcPr>
            <w:tcW w:w="1730" w:type="dxa"/>
            <w:vMerge w:val="continue"/>
            <w:vAlign w:val="center"/>
          </w:tcPr>
          <w:p>
            <w:pPr>
              <w:pStyle w:val="18"/>
              <w:keepNext w:val="0"/>
              <w:keepLines w:val="0"/>
              <w:suppressLineNumbers w:val="0"/>
              <w:spacing w:before="0" w:beforeAutospacing="0" w:afterAutospacing="0"/>
              <w:ind w:left="0" w:leftChars="0" w:right="0"/>
              <w:jc w:val="center"/>
              <w:rPr>
                <w:rFonts w:hint="eastAsia" w:ascii="宋体" w:hAnsi="宋体" w:cs="宋体"/>
                <w:sz w:val="21"/>
                <w:szCs w:val="21"/>
              </w:rPr>
            </w:pPr>
          </w:p>
        </w:tc>
        <w:tc>
          <w:tcPr>
            <w:tcW w:w="6276" w:type="dxa"/>
            <w:vAlign w:val="center"/>
          </w:tcPr>
          <w:p>
            <w:pPr>
              <w:pStyle w:val="35"/>
              <w:keepNext w:val="0"/>
              <w:keepLines w:val="0"/>
              <w:suppressLineNumbers w:val="0"/>
              <w:spacing w:before="0" w:beforeAutospacing="0" w:after="0" w:afterAutospacing="0"/>
              <w:ind w:left="0" w:right="0"/>
              <w:rPr>
                <w:rFonts w:hint="default" w:ascii="宋体" w:hAnsi="宋体" w:eastAsia="宋体" w:cs="宋体"/>
                <w:color w:val="auto"/>
                <w:sz w:val="21"/>
                <w:szCs w:val="21"/>
                <w:lang w:val="en-US"/>
              </w:rPr>
            </w:pP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技术</w:t>
            </w:r>
            <w:r>
              <w:rPr>
                <w:rFonts w:hint="eastAsia" w:ascii="宋体" w:hAnsi="宋体" w:eastAsia="宋体" w:cs="宋体"/>
                <w:color w:val="auto"/>
                <w:sz w:val="21"/>
                <w:szCs w:val="21"/>
              </w:rPr>
              <w:t>负责人</w:t>
            </w:r>
            <w:r>
              <w:rPr>
                <w:rFonts w:hint="eastAsia" w:ascii="宋体" w:hAnsi="宋体" w:eastAsia="宋体" w:cs="宋体"/>
                <w:color w:val="auto"/>
                <w:sz w:val="21"/>
                <w:szCs w:val="21"/>
                <w:lang w:val="en-US"/>
              </w:rPr>
              <w:t>具有</w:t>
            </w:r>
            <w:r>
              <w:rPr>
                <w:rFonts w:hint="eastAsia" w:ascii="Times New Roman" w:hAnsi="Times New Roman" w:eastAsia="宋体"/>
                <w:color w:val="auto"/>
                <w:sz w:val="21"/>
                <w:szCs w:val="20"/>
                <w:lang w:val="en-US"/>
              </w:rPr>
              <w:t>公路工程相关专业</w:t>
            </w:r>
            <w:r>
              <w:rPr>
                <w:rFonts w:hint="eastAsia" w:ascii="Times New Roman" w:hAnsi="Times New Roman" w:eastAsia="宋体"/>
                <w:color w:val="auto"/>
                <w:sz w:val="21"/>
                <w:szCs w:val="20"/>
                <w:lang w:val="en-US" w:eastAsia="zh-CN"/>
              </w:rPr>
              <w:t>高级</w:t>
            </w:r>
            <w:r>
              <w:rPr>
                <w:rFonts w:hint="eastAsia" w:ascii="宋体" w:hAnsi="宋体" w:eastAsia="宋体" w:cs="宋体"/>
                <w:color w:val="auto"/>
                <w:sz w:val="21"/>
                <w:szCs w:val="21"/>
                <w:lang w:val="en-US"/>
              </w:rPr>
              <w:t>工程师及以上职称</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lang w:val="en-US"/>
              </w:rPr>
              <w:t>得3分。</w:t>
            </w:r>
          </w:p>
          <w:p>
            <w:pPr>
              <w:pStyle w:val="35"/>
              <w:keepNext w:val="0"/>
              <w:keepLines w:val="0"/>
              <w:suppressLineNumbers w:val="0"/>
              <w:spacing w:before="0" w:beforeAutospacing="0" w:after="0" w:afterAutospacing="0"/>
              <w:ind w:left="0" w:leftChars="0" w:right="0" w:right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val="en-US"/>
              </w:rPr>
              <w:t>注：</w:t>
            </w:r>
            <w:r>
              <w:rPr>
                <w:rFonts w:hint="eastAsia" w:ascii="宋体" w:hAnsi="宋体" w:eastAsia="宋体" w:cs="宋体"/>
                <w:b/>
                <w:bCs w:val="0"/>
                <w:color w:val="auto"/>
                <w:kern w:val="2"/>
                <w:sz w:val="21"/>
                <w:szCs w:val="21"/>
                <w:highlight w:val="none"/>
              </w:rPr>
              <w:t>提供</w:t>
            </w:r>
            <w:r>
              <w:rPr>
                <w:rFonts w:hint="eastAsia" w:ascii="宋体" w:hAnsi="宋体" w:eastAsia="宋体" w:cs="宋体"/>
                <w:b/>
                <w:bCs w:val="0"/>
                <w:color w:val="auto"/>
                <w:kern w:val="2"/>
                <w:sz w:val="21"/>
                <w:szCs w:val="21"/>
                <w:highlight w:val="none"/>
                <w:lang w:val="en-US" w:eastAsia="zh-CN"/>
              </w:rPr>
              <w:t>职称</w:t>
            </w:r>
            <w:r>
              <w:rPr>
                <w:rFonts w:hint="eastAsia" w:ascii="宋体" w:hAnsi="宋体" w:eastAsia="宋体" w:cs="宋体"/>
                <w:b/>
                <w:bCs w:val="0"/>
                <w:color w:val="auto"/>
                <w:kern w:val="2"/>
                <w:sz w:val="21"/>
                <w:szCs w:val="21"/>
                <w:highlight w:val="none"/>
              </w:rPr>
              <w:t>证书复印件</w:t>
            </w:r>
            <w:r>
              <w:rPr>
                <w:rFonts w:hint="eastAsia" w:ascii="宋体" w:hAnsi="宋体" w:eastAsia="宋体" w:cs="宋体"/>
                <w:b/>
                <w:bCs w:val="0"/>
                <w:color w:val="auto"/>
                <w:kern w:val="2"/>
                <w:sz w:val="21"/>
                <w:szCs w:val="21"/>
                <w:highlight w:val="none"/>
                <w:lang w:val="en-US" w:eastAsia="zh-CN" w:bidi="ar-SA"/>
              </w:rPr>
              <w:t>及投标截止时间前3个月内任意一个月的在本单位社保缴纳证明</w:t>
            </w:r>
            <w:r>
              <w:rPr>
                <w:rFonts w:hint="eastAsia" w:ascii="宋体" w:hAnsi="宋体" w:eastAsia="宋体" w:cs="宋体"/>
                <w:b/>
                <w:color w:val="auto"/>
                <w:sz w:val="21"/>
                <w:szCs w:val="21"/>
              </w:rPr>
              <w:t>复印件</w:t>
            </w:r>
            <w:r>
              <w:rPr>
                <w:rFonts w:hint="eastAsia" w:ascii="宋体" w:hAnsi="宋体" w:eastAsia="宋体" w:cs="宋体"/>
                <w:b/>
                <w:bCs/>
                <w:color w:val="auto"/>
                <w:sz w:val="21"/>
                <w:szCs w:val="21"/>
              </w:rPr>
              <w:t>编入商务与技术标，否则不得分。</w:t>
            </w:r>
          </w:p>
        </w:tc>
        <w:tc>
          <w:tcPr>
            <w:tcW w:w="1119" w:type="dxa"/>
            <w:vAlign w:val="center"/>
          </w:tcPr>
          <w:p>
            <w:pPr>
              <w:pStyle w:val="18"/>
              <w:keepNext w:val="0"/>
              <w:keepLines w:val="0"/>
              <w:suppressLineNumbers w:val="0"/>
              <w:spacing w:before="0" w:beforeAutospacing="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jc w:val="center"/>
        </w:trPr>
        <w:tc>
          <w:tcPr>
            <w:tcW w:w="773"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p>
        </w:tc>
        <w:tc>
          <w:tcPr>
            <w:tcW w:w="1730" w:type="dxa"/>
            <w:vMerge w:val="continue"/>
            <w:vAlign w:val="center"/>
          </w:tcPr>
          <w:p>
            <w:pPr>
              <w:pStyle w:val="18"/>
              <w:keepNext w:val="0"/>
              <w:keepLines w:val="0"/>
              <w:suppressLineNumbers w:val="0"/>
              <w:spacing w:before="0" w:beforeAutospacing="0" w:afterAutospacing="0"/>
              <w:ind w:left="0" w:leftChars="0" w:right="0"/>
              <w:jc w:val="center"/>
              <w:rPr>
                <w:rFonts w:hint="default" w:ascii="宋体" w:hAnsi="宋体" w:cs="宋体"/>
                <w:sz w:val="21"/>
                <w:szCs w:val="21"/>
              </w:rPr>
            </w:pPr>
          </w:p>
        </w:tc>
        <w:tc>
          <w:tcPr>
            <w:tcW w:w="6276" w:type="dxa"/>
            <w:vAlign w:val="center"/>
          </w:tcPr>
          <w:p>
            <w:pPr>
              <w:pStyle w:val="18"/>
              <w:keepNext w:val="0"/>
              <w:keepLines w:val="0"/>
              <w:suppressLineNumbers w:val="0"/>
              <w:spacing w:before="0" w:beforeAutospacing="0" w:after="0" w:afterAutospacing="0"/>
              <w:ind w:left="0" w:leftChars="0" w:right="0"/>
              <w:rPr>
                <w:rFonts w:hint="default" w:ascii="宋体" w:hAnsi="宋体" w:eastAsia="宋体" w:cs="宋体"/>
                <w:color w:val="auto"/>
                <w:sz w:val="21"/>
                <w:szCs w:val="21"/>
              </w:rPr>
            </w:pPr>
            <w:r>
              <w:rPr>
                <w:rFonts w:hint="eastAsia" w:ascii="宋体" w:hAnsi="宋体" w:eastAsia="宋体" w:cs="宋体"/>
                <w:color w:val="auto"/>
                <w:sz w:val="21"/>
                <w:szCs w:val="21"/>
              </w:rPr>
              <w:t>安全负责人具有</w:t>
            </w:r>
            <w:r>
              <w:rPr>
                <w:rFonts w:hint="eastAsia" w:ascii="Times New Roman" w:hAnsi="Times New Roman" w:eastAsia="宋体"/>
                <w:color w:val="auto"/>
                <w:sz w:val="21"/>
                <w:szCs w:val="20"/>
                <w:lang w:val="en-US"/>
              </w:rPr>
              <w:t>公路工程相关专业</w:t>
            </w:r>
            <w:r>
              <w:rPr>
                <w:rFonts w:hint="eastAsia" w:ascii="宋体" w:hAnsi="宋体" w:eastAsia="宋体" w:cs="宋体"/>
                <w:color w:val="auto"/>
                <w:sz w:val="21"/>
                <w:szCs w:val="21"/>
                <w:lang w:val="en-US"/>
              </w:rPr>
              <w:t>工程师及以上职称</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pStyle w:val="18"/>
              <w:keepNext w:val="0"/>
              <w:keepLines w:val="0"/>
              <w:suppressLineNumbers w:val="0"/>
              <w:spacing w:before="0" w:beforeAutospacing="0" w:after="0" w:afterAutospacing="0"/>
              <w:ind w:left="0" w:leftChars="0" w:right="0"/>
              <w:rPr>
                <w:rFonts w:hint="default" w:ascii="宋体" w:hAnsi="宋体" w:eastAsia="宋体" w:cs="宋体"/>
                <w:color w:val="auto"/>
                <w:sz w:val="21"/>
                <w:szCs w:val="21"/>
              </w:rPr>
            </w:pPr>
            <w:r>
              <w:rPr>
                <w:rFonts w:hint="eastAsia" w:ascii="宋体" w:hAnsi="宋体" w:eastAsia="宋体" w:cs="宋体"/>
                <w:b/>
                <w:bCs/>
                <w:color w:val="auto"/>
                <w:sz w:val="21"/>
                <w:szCs w:val="21"/>
              </w:rPr>
              <w:t>注：</w:t>
            </w:r>
            <w:r>
              <w:rPr>
                <w:rFonts w:hint="eastAsia" w:ascii="宋体" w:hAnsi="宋体" w:eastAsia="宋体" w:cs="宋体"/>
                <w:b/>
                <w:bCs w:val="0"/>
                <w:color w:val="auto"/>
                <w:kern w:val="2"/>
                <w:sz w:val="21"/>
                <w:szCs w:val="21"/>
                <w:highlight w:val="none"/>
              </w:rPr>
              <w:t>提供</w:t>
            </w:r>
            <w:r>
              <w:rPr>
                <w:rFonts w:hint="eastAsia" w:ascii="宋体" w:hAnsi="宋体" w:eastAsia="宋体" w:cs="宋体"/>
                <w:b/>
                <w:bCs w:val="0"/>
                <w:color w:val="auto"/>
                <w:kern w:val="2"/>
                <w:sz w:val="21"/>
                <w:szCs w:val="21"/>
                <w:highlight w:val="none"/>
                <w:lang w:val="en-US" w:eastAsia="zh-CN"/>
              </w:rPr>
              <w:t>职称</w:t>
            </w:r>
            <w:r>
              <w:rPr>
                <w:rFonts w:hint="eastAsia" w:ascii="宋体" w:hAnsi="宋体" w:eastAsia="宋体" w:cs="宋体"/>
                <w:b/>
                <w:bCs w:val="0"/>
                <w:color w:val="auto"/>
                <w:kern w:val="2"/>
                <w:sz w:val="21"/>
                <w:szCs w:val="21"/>
                <w:highlight w:val="none"/>
              </w:rPr>
              <w:t>证书复印件</w:t>
            </w:r>
            <w:r>
              <w:rPr>
                <w:rFonts w:hint="eastAsia" w:ascii="宋体" w:hAnsi="宋体" w:eastAsia="宋体" w:cs="宋体"/>
                <w:b/>
                <w:bCs w:val="0"/>
                <w:color w:val="auto"/>
                <w:kern w:val="2"/>
                <w:sz w:val="21"/>
                <w:szCs w:val="21"/>
                <w:highlight w:val="none"/>
                <w:lang w:val="en-US" w:eastAsia="zh-CN" w:bidi="ar-SA"/>
              </w:rPr>
              <w:t>及投标截止时间前3个月内任意一个月的在本单位社保缴纳证明</w:t>
            </w:r>
            <w:r>
              <w:rPr>
                <w:rFonts w:hint="eastAsia" w:ascii="宋体" w:hAnsi="宋体" w:eastAsia="宋体" w:cs="宋体"/>
                <w:b/>
                <w:color w:val="auto"/>
                <w:sz w:val="21"/>
                <w:szCs w:val="21"/>
              </w:rPr>
              <w:t>复印件</w:t>
            </w:r>
            <w:r>
              <w:rPr>
                <w:rFonts w:hint="eastAsia" w:ascii="宋体" w:hAnsi="宋体" w:eastAsia="宋体" w:cs="宋体"/>
                <w:b/>
                <w:bCs/>
                <w:color w:val="auto"/>
                <w:sz w:val="21"/>
                <w:szCs w:val="21"/>
              </w:rPr>
              <w:t>编入商务与技术标，否则不得分。</w:t>
            </w:r>
          </w:p>
        </w:tc>
        <w:tc>
          <w:tcPr>
            <w:tcW w:w="1119"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73"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p>
        </w:tc>
        <w:tc>
          <w:tcPr>
            <w:tcW w:w="1730" w:type="dxa"/>
            <w:vMerge w:val="continue"/>
            <w:vAlign w:val="center"/>
          </w:tcPr>
          <w:p>
            <w:pPr>
              <w:pStyle w:val="18"/>
              <w:keepNext w:val="0"/>
              <w:keepLines w:val="0"/>
              <w:suppressLineNumbers w:val="0"/>
              <w:spacing w:before="0" w:beforeAutospacing="0" w:afterAutospacing="0"/>
              <w:ind w:left="0" w:leftChars="0" w:right="0"/>
              <w:jc w:val="center"/>
              <w:rPr>
                <w:rFonts w:hint="default" w:ascii="宋体" w:hAnsi="宋体" w:cs="宋体"/>
                <w:sz w:val="21"/>
                <w:szCs w:val="21"/>
              </w:rPr>
            </w:pPr>
          </w:p>
        </w:tc>
        <w:tc>
          <w:tcPr>
            <w:tcW w:w="6276" w:type="dxa"/>
            <w:vAlign w:val="center"/>
          </w:tcPr>
          <w:p>
            <w:pPr>
              <w:pStyle w:val="35"/>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xml:space="preserve">项目组成员（项目经理、项目技术负责人、安全负责人除外）具有公路工程相关专业工程师职称证书的得2分，最高得4分。 </w:t>
            </w:r>
          </w:p>
          <w:p>
            <w:pPr>
              <w:pStyle w:val="35"/>
              <w:keepNext w:val="0"/>
              <w:keepLines w:val="0"/>
              <w:suppressLineNumbers w:val="0"/>
              <w:spacing w:before="0" w:beforeAutospacing="0" w:after="0" w:afterAutospacing="0"/>
              <w:ind w:left="0" w:right="0"/>
              <w:rPr>
                <w:rFonts w:hint="default" w:ascii="宋体" w:hAnsi="宋体" w:eastAsia="宋体" w:cs="宋体"/>
                <w:color w:val="auto"/>
                <w:sz w:val="21"/>
                <w:szCs w:val="21"/>
                <w:lang w:val="en-US"/>
              </w:rPr>
            </w:pPr>
            <w:r>
              <w:rPr>
                <w:rFonts w:hint="eastAsia" w:ascii="宋体" w:hAnsi="宋体" w:eastAsia="宋体" w:cs="宋体"/>
                <w:b/>
                <w:bCs/>
                <w:color w:val="auto"/>
                <w:sz w:val="21"/>
                <w:szCs w:val="21"/>
              </w:rPr>
              <w:t>注：提供职称证书复印件及投标截止时间前3个月内任意一个月的在本单位社保缴纳证明复印件编入商务与技术标，否则不得分。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color w:val="auto"/>
                <w:sz w:val="21"/>
                <w:szCs w:val="21"/>
              </w:rPr>
            </w:pPr>
            <w:r>
              <w:rPr>
                <w:rFonts w:hint="eastAsia" w:ascii="宋体" w:hAnsi="宋体" w:eastAsia="宋体" w:cs="宋体"/>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7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eastAsia" w:ascii="宋体" w:hAnsi="宋体" w:eastAsia="宋体" w:cs="宋体"/>
                <w:sz w:val="21"/>
                <w:szCs w:val="21"/>
              </w:rPr>
              <w:t>4</w:t>
            </w:r>
          </w:p>
        </w:tc>
        <w:tc>
          <w:tcPr>
            <w:tcW w:w="1730" w:type="dxa"/>
            <w:vAlign w:val="center"/>
          </w:tcPr>
          <w:p>
            <w:pPr>
              <w:pStyle w:val="18"/>
              <w:keepNext w:val="0"/>
              <w:keepLines w:val="0"/>
              <w:suppressLineNumbers w:val="0"/>
              <w:spacing w:before="0" w:beforeAutospacing="0" w:after="0" w:afterAutospacing="0" w:line="340" w:lineRule="exact"/>
              <w:ind w:left="0" w:leftChars="0" w:right="0"/>
              <w:jc w:val="center"/>
              <w:textAlignment w:val="baseline"/>
              <w:rPr>
                <w:rFonts w:hint="default" w:ascii="宋体" w:hAnsi="宋体" w:eastAsia="宋体" w:cs="宋体"/>
                <w:sz w:val="21"/>
                <w:szCs w:val="21"/>
              </w:rPr>
            </w:pPr>
            <w:r>
              <w:rPr>
                <w:rFonts w:hint="eastAsia" w:ascii="宋体" w:hAnsi="宋体" w:eastAsia="宋体" w:cs="宋体"/>
                <w:sz w:val="21"/>
                <w:szCs w:val="21"/>
              </w:rPr>
              <w:t>拟投入机械设备</w:t>
            </w:r>
          </w:p>
        </w:tc>
        <w:tc>
          <w:tcPr>
            <w:tcW w:w="6276" w:type="dxa"/>
            <w:vAlign w:val="center"/>
          </w:tcPr>
          <w:p>
            <w:pPr>
              <w:keepNext w:val="0"/>
              <w:keepLines w:val="0"/>
              <w:suppressLineNumbers w:val="0"/>
              <w:spacing w:before="0" w:beforeAutospacing="0" w:after="0" w:afterAutospacing="0" w:line="340" w:lineRule="exact"/>
              <w:ind w:left="0" w:right="0"/>
              <w:textAlignment w:val="baseline"/>
              <w:rPr>
                <w:rFonts w:hint="default" w:ascii="宋体" w:hAnsi="宋体" w:eastAsia="宋体" w:cs="宋体"/>
                <w:color w:val="auto"/>
                <w:sz w:val="21"/>
                <w:szCs w:val="21"/>
              </w:rPr>
            </w:pPr>
            <w:r>
              <w:rPr>
                <w:rFonts w:hint="eastAsia" w:ascii="宋体" w:hAnsi="宋体" w:eastAsia="宋体" w:cs="宋体"/>
                <w:color w:val="auto"/>
                <w:sz w:val="21"/>
                <w:szCs w:val="21"/>
              </w:rPr>
              <w:t>供应商具有</w:t>
            </w:r>
            <w:r>
              <w:rPr>
                <w:rFonts w:hint="eastAsia" w:ascii="宋体" w:hAnsi="宋体" w:eastAsia="宋体" w:cs="宋体"/>
                <w:color w:val="auto"/>
                <w:sz w:val="21"/>
                <w:szCs w:val="21"/>
                <w:lang w:eastAsia="zh-CN"/>
              </w:rPr>
              <w:t>摊铺机、胶轮压路机、光轮压路机、铣刨机</w:t>
            </w:r>
            <w:r>
              <w:rPr>
                <w:rFonts w:hint="eastAsia" w:ascii="宋体" w:hAnsi="宋体" w:eastAsia="宋体" w:cs="宋体"/>
                <w:color w:val="auto"/>
                <w:sz w:val="21"/>
                <w:szCs w:val="21"/>
              </w:rPr>
              <w:t>，上述设备每提供一项的得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最高得8分。同种设备</w:t>
            </w:r>
            <w:r>
              <w:rPr>
                <w:rFonts w:hint="eastAsia" w:ascii="宋体" w:hAnsi="宋体" w:eastAsia="宋体" w:cs="宋体"/>
                <w:color w:val="auto"/>
                <w:sz w:val="21"/>
                <w:szCs w:val="21"/>
              </w:rPr>
              <w:t>不重复计分。</w:t>
            </w:r>
          </w:p>
          <w:p>
            <w:pPr>
              <w:keepNext w:val="0"/>
              <w:keepLines w:val="0"/>
              <w:suppressLineNumbers w:val="0"/>
              <w:spacing w:before="0" w:beforeAutospacing="0" w:after="0" w:afterAutospacing="0" w:line="340" w:lineRule="exact"/>
              <w:ind w:left="0" w:right="0"/>
              <w:textAlignment w:val="baseline"/>
              <w:rPr>
                <w:rFonts w:hint="default" w:ascii="宋体" w:hAnsi="宋体" w:eastAsia="宋体" w:cs="宋体"/>
                <w:b/>
                <w:color w:val="auto"/>
                <w:sz w:val="21"/>
                <w:szCs w:val="21"/>
              </w:rPr>
            </w:pPr>
            <w:r>
              <w:rPr>
                <w:rFonts w:hint="eastAsia" w:ascii="宋体" w:hAnsi="宋体" w:eastAsia="宋体" w:cs="宋体"/>
                <w:b/>
                <w:color w:val="auto"/>
                <w:sz w:val="21"/>
                <w:szCs w:val="21"/>
              </w:rPr>
              <w:t>注：自有设备须提供有效的发票复印件，租赁或签订合作协议的须提供合同复印件及租赁方施工器械所有权的证明材料，否则不得分。</w:t>
            </w:r>
          </w:p>
        </w:tc>
        <w:tc>
          <w:tcPr>
            <w:tcW w:w="1119" w:type="dxa"/>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7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eastAsia" w:ascii="宋体" w:hAnsi="宋体" w:eastAsia="宋体" w:cs="宋体"/>
                <w:sz w:val="21"/>
                <w:szCs w:val="21"/>
              </w:rPr>
              <w:t>5</w:t>
            </w:r>
          </w:p>
        </w:tc>
        <w:tc>
          <w:tcPr>
            <w:tcW w:w="1730"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sz w:val="21"/>
                <w:szCs w:val="21"/>
              </w:rPr>
            </w:pPr>
            <w:r>
              <w:rPr>
                <w:rFonts w:hint="eastAsia" w:ascii="宋体" w:hAnsi="宋体" w:eastAsia="宋体" w:cs="宋体"/>
                <w:sz w:val="21"/>
                <w:szCs w:val="21"/>
              </w:rPr>
              <w:t>维修响应时间的承诺</w:t>
            </w:r>
          </w:p>
        </w:tc>
        <w:tc>
          <w:tcPr>
            <w:tcW w:w="6276" w:type="dxa"/>
            <w:vAlign w:val="center"/>
          </w:tcPr>
          <w:p>
            <w:pPr>
              <w:pStyle w:val="22"/>
              <w:keepNext w:val="0"/>
              <w:keepLines w:val="0"/>
              <w:suppressLineNumbers w:val="0"/>
              <w:adjustRightInd w:val="0"/>
              <w:snapToGrid w:val="0"/>
              <w:spacing w:before="0" w:beforeAutospacing="0" w:after="0" w:afterAutospacing="0" w:line="340" w:lineRule="exact"/>
              <w:ind w:left="0" w:right="0" w:firstLine="0" w:firstLineChars="0"/>
              <w:rPr>
                <w:rFonts w:hint="default" w:ascii="宋体" w:hAnsi="宋体" w:eastAsia="宋体" w:cs="宋体"/>
                <w:szCs w:val="21"/>
              </w:rPr>
            </w:pPr>
            <w:r>
              <w:rPr>
                <w:rFonts w:hint="eastAsia" w:ascii="宋体" w:hAnsi="宋体" w:eastAsia="宋体" w:cs="宋体"/>
                <w:szCs w:val="21"/>
              </w:rPr>
              <w:t>48小时＞响应时间≥24小时，得1分；</w:t>
            </w:r>
          </w:p>
          <w:p>
            <w:pPr>
              <w:pStyle w:val="22"/>
              <w:keepNext w:val="0"/>
              <w:keepLines w:val="0"/>
              <w:suppressLineNumbers w:val="0"/>
              <w:adjustRightInd w:val="0"/>
              <w:snapToGrid w:val="0"/>
              <w:spacing w:before="0" w:beforeAutospacing="0" w:after="0" w:afterAutospacing="0" w:line="340" w:lineRule="exact"/>
              <w:ind w:left="0" w:right="0" w:firstLine="0" w:firstLineChars="0"/>
              <w:rPr>
                <w:rFonts w:hint="default" w:ascii="宋体" w:hAnsi="宋体" w:eastAsia="宋体" w:cs="宋体"/>
                <w:szCs w:val="21"/>
              </w:rPr>
            </w:pPr>
            <w:r>
              <w:rPr>
                <w:rFonts w:hint="eastAsia" w:ascii="宋体" w:hAnsi="宋体" w:eastAsia="宋体" w:cs="宋体"/>
                <w:szCs w:val="21"/>
              </w:rPr>
              <w:t>24小时＞响应时间≥12小时，得</w:t>
            </w:r>
            <w:r>
              <w:rPr>
                <w:rFonts w:hint="eastAsia" w:ascii="宋体" w:hAnsi="宋体" w:eastAsia="宋体" w:cs="宋体"/>
                <w:szCs w:val="21"/>
                <w:lang w:val="en-US" w:eastAsia="zh-CN"/>
              </w:rPr>
              <w:t>2</w:t>
            </w:r>
            <w:r>
              <w:rPr>
                <w:rFonts w:hint="eastAsia" w:ascii="宋体" w:hAnsi="宋体" w:eastAsia="宋体" w:cs="宋体"/>
                <w:szCs w:val="21"/>
              </w:rPr>
              <w:t>分。</w:t>
            </w:r>
          </w:p>
          <w:p>
            <w:pPr>
              <w:pStyle w:val="22"/>
              <w:keepNext w:val="0"/>
              <w:keepLines w:val="0"/>
              <w:suppressLineNumbers w:val="0"/>
              <w:adjustRightInd w:val="0"/>
              <w:snapToGrid w:val="0"/>
              <w:spacing w:before="0" w:beforeAutospacing="0" w:after="0" w:afterAutospacing="0" w:line="340" w:lineRule="exact"/>
              <w:ind w:left="0" w:right="0" w:firstLine="0" w:firstLineChars="0"/>
              <w:rPr>
                <w:rFonts w:hint="default" w:ascii="宋体" w:hAnsi="宋体" w:eastAsia="宋体" w:cs="宋体"/>
                <w:szCs w:val="21"/>
              </w:rPr>
            </w:pPr>
            <w:r>
              <w:rPr>
                <w:rFonts w:hint="eastAsia" w:ascii="宋体" w:hAnsi="宋体" w:eastAsia="宋体" w:cs="宋体"/>
                <w:szCs w:val="21"/>
              </w:rPr>
              <w:t>响应时间＜12小时，得</w:t>
            </w:r>
            <w:r>
              <w:rPr>
                <w:rFonts w:hint="eastAsia" w:ascii="宋体" w:hAnsi="宋体" w:eastAsia="宋体" w:cs="宋体"/>
                <w:szCs w:val="21"/>
                <w:lang w:val="en-US" w:eastAsia="zh-CN"/>
              </w:rPr>
              <w:t>3</w:t>
            </w:r>
            <w:r>
              <w:rPr>
                <w:rFonts w:hint="eastAsia" w:ascii="宋体" w:hAnsi="宋体" w:eastAsia="宋体" w:cs="宋体"/>
                <w:szCs w:val="21"/>
              </w:rPr>
              <w:t>分。</w:t>
            </w:r>
          </w:p>
          <w:p>
            <w:pPr>
              <w:pStyle w:val="17"/>
              <w:keepNext w:val="0"/>
              <w:keepLines w:val="0"/>
              <w:suppressLineNumbers w:val="0"/>
              <w:spacing w:before="0" w:beforeAutospacing="0" w:after="0" w:afterAutospacing="0"/>
              <w:ind w:left="0" w:leftChars="0" w:right="0"/>
              <w:rPr>
                <w:rFonts w:hint="default" w:ascii="宋体" w:hAnsi="宋体" w:eastAsia="宋体" w:cs="宋体"/>
                <w:sz w:val="21"/>
                <w:szCs w:val="21"/>
              </w:rPr>
            </w:pPr>
            <w:r>
              <w:rPr>
                <w:rFonts w:hint="eastAsia" w:ascii="宋体" w:hAnsi="宋体" w:eastAsia="宋体" w:cs="宋体"/>
                <w:b/>
                <w:sz w:val="21"/>
                <w:szCs w:val="21"/>
              </w:rPr>
              <w:t>注：供应商应当提供承诺函（格式自拟）并加盖公章，否则不得分</w:t>
            </w:r>
            <w:r>
              <w:rPr>
                <w:rFonts w:hint="eastAsia" w:ascii="宋体" w:hAnsi="宋体" w:eastAsia="宋体" w:cs="宋体"/>
                <w:sz w:val="21"/>
                <w:szCs w:val="21"/>
              </w:rPr>
              <w:t>。</w:t>
            </w:r>
          </w:p>
        </w:tc>
        <w:tc>
          <w:tcPr>
            <w:tcW w:w="1119" w:type="dxa"/>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7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eastAsia" w:ascii="宋体" w:hAnsi="宋体" w:eastAsia="宋体" w:cs="宋体"/>
                <w:sz w:val="21"/>
                <w:szCs w:val="21"/>
              </w:rPr>
              <w:t>6</w:t>
            </w:r>
          </w:p>
        </w:tc>
        <w:tc>
          <w:tcPr>
            <w:tcW w:w="1730" w:type="dxa"/>
            <w:vAlign w:val="center"/>
          </w:tcPr>
          <w:p>
            <w:pPr>
              <w:keepNext w:val="0"/>
              <w:keepLines w:val="0"/>
              <w:suppressLineNumbers w:val="0"/>
              <w:adjustRightInd w:val="0"/>
              <w:snapToGrid w:val="0"/>
              <w:spacing w:before="156"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近三年安全事故责任情况</w:t>
            </w:r>
          </w:p>
        </w:tc>
        <w:tc>
          <w:tcPr>
            <w:tcW w:w="6276" w:type="dxa"/>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s="宋体"/>
                <w:sz w:val="21"/>
                <w:szCs w:val="21"/>
              </w:rPr>
            </w:pPr>
            <w:r>
              <w:rPr>
                <w:rFonts w:hint="eastAsia" w:ascii="宋体" w:hAnsi="宋体" w:eastAsia="宋体" w:cs="宋体"/>
                <w:sz w:val="21"/>
                <w:szCs w:val="21"/>
              </w:rPr>
              <w:t>提供近三年无安全责任</w:t>
            </w:r>
            <w:r>
              <w:rPr>
                <w:rFonts w:hint="eastAsia" w:ascii="宋体" w:hAnsi="宋体" w:eastAsia="宋体" w:cs="宋体"/>
                <w:sz w:val="21"/>
                <w:szCs w:val="21"/>
                <w:lang w:val="zh-CN"/>
              </w:rPr>
              <w:t>质量事故</w:t>
            </w:r>
            <w:r>
              <w:rPr>
                <w:rFonts w:hint="eastAsia" w:ascii="宋体" w:hAnsi="宋体" w:eastAsia="宋体" w:cs="宋体"/>
                <w:sz w:val="21"/>
                <w:szCs w:val="21"/>
              </w:rPr>
              <w:t>情况承诺函（格式自拟），提供得</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分，未提供不得分。</w:t>
            </w:r>
          </w:p>
          <w:p>
            <w:pPr>
              <w:keepNext w:val="0"/>
              <w:keepLines w:val="0"/>
              <w:suppressLineNumbers w:val="0"/>
              <w:spacing w:before="0" w:beforeAutospacing="0" w:after="0" w:afterAutospacing="0" w:line="360" w:lineRule="auto"/>
              <w:ind w:left="0" w:right="0"/>
              <w:jc w:val="left"/>
              <w:rPr>
                <w:rFonts w:hint="default" w:ascii="宋体" w:hAnsi="宋体" w:eastAsia="宋体" w:cs="宋体"/>
                <w:sz w:val="21"/>
                <w:szCs w:val="21"/>
              </w:rPr>
            </w:pPr>
            <w:r>
              <w:rPr>
                <w:rFonts w:hint="eastAsia" w:ascii="宋体" w:hAnsi="宋体" w:eastAsia="宋体" w:cs="宋体"/>
                <w:b/>
                <w:bCs/>
                <w:sz w:val="21"/>
                <w:szCs w:val="21"/>
              </w:rPr>
              <w:t>注：须加盖公章</w:t>
            </w:r>
            <w:r>
              <w:rPr>
                <w:rFonts w:hint="eastAsia" w:ascii="宋体" w:hAnsi="宋体" w:eastAsia="宋体" w:cs="宋体"/>
                <w:b/>
                <w:bCs/>
                <w:sz w:val="21"/>
                <w:szCs w:val="21"/>
                <w:lang w:val="zh-CN"/>
              </w:rPr>
              <w:t>,否则不得分。</w:t>
            </w:r>
          </w:p>
        </w:tc>
        <w:tc>
          <w:tcPr>
            <w:tcW w:w="1119" w:type="dxa"/>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7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eastAsia" w:ascii="宋体" w:hAnsi="宋体" w:eastAsia="宋体" w:cs="宋体"/>
                <w:sz w:val="21"/>
                <w:szCs w:val="21"/>
              </w:rPr>
              <w:t>7</w:t>
            </w:r>
          </w:p>
        </w:tc>
        <w:tc>
          <w:tcPr>
            <w:tcW w:w="1730" w:type="dxa"/>
            <w:vAlign w:val="center"/>
          </w:tcPr>
          <w:p>
            <w:pPr>
              <w:keepNext w:val="0"/>
              <w:keepLines w:val="0"/>
              <w:suppressLineNumbers w:val="0"/>
              <w:adjustRightInd w:val="0"/>
              <w:snapToGrid w:val="0"/>
              <w:spacing w:before="156"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近三年质量事故情况</w:t>
            </w:r>
          </w:p>
        </w:tc>
        <w:tc>
          <w:tcPr>
            <w:tcW w:w="6276" w:type="dxa"/>
            <w:vAlign w:val="center"/>
          </w:tcPr>
          <w:p>
            <w:pPr>
              <w:keepNext w:val="0"/>
              <w:keepLines w:val="0"/>
              <w:suppressLineNumbers w:val="0"/>
              <w:adjustRightInd w:val="0"/>
              <w:snapToGrid w:val="0"/>
              <w:spacing w:before="156" w:beforeAutospacing="0" w:after="0" w:afterAutospacing="0"/>
              <w:ind w:left="0" w:right="0"/>
              <w:jc w:val="left"/>
              <w:rPr>
                <w:rFonts w:hint="default" w:ascii="宋体" w:hAnsi="宋体" w:eastAsia="宋体" w:cs="宋体"/>
                <w:sz w:val="21"/>
                <w:szCs w:val="21"/>
              </w:rPr>
            </w:pPr>
            <w:r>
              <w:rPr>
                <w:rFonts w:hint="eastAsia" w:ascii="宋体" w:hAnsi="宋体" w:eastAsia="宋体" w:cs="宋体"/>
                <w:sz w:val="21"/>
                <w:szCs w:val="21"/>
              </w:rPr>
              <w:t>提供近三年无质量事故情况承诺函（格式自拟），提供得</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分，未提供不得分。</w:t>
            </w:r>
          </w:p>
          <w:p>
            <w:pPr>
              <w:keepNext w:val="0"/>
              <w:keepLines w:val="0"/>
              <w:suppressLineNumbers w:val="0"/>
              <w:adjustRightInd w:val="0"/>
              <w:snapToGrid w:val="0"/>
              <w:spacing w:before="156" w:beforeAutospacing="0" w:after="0" w:afterAutospacing="0"/>
              <w:ind w:left="0" w:right="0"/>
              <w:jc w:val="left"/>
              <w:rPr>
                <w:rFonts w:hint="default" w:ascii="宋体" w:hAnsi="宋体" w:eastAsia="宋体" w:cs="宋体"/>
                <w:sz w:val="21"/>
                <w:szCs w:val="21"/>
              </w:rPr>
            </w:pPr>
            <w:r>
              <w:rPr>
                <w:rFonts w:hint="eastAsia" w:ascii="宋体" w:hAnsi="宋体" w:eastAsia="宋体" w:cs="宋体"/>
                <w:b/>
                <w:bCs/>
                <w:sz w:val="21"/>
                <w:szCs w:val="21"/>
              </w:rPr>
              <w:t>注：须加盖公章</w:t>
            </w:r>
            <w:r>
              <w:rPr>
                <w:rFonts w:hint="eastAsia" w:ascii="宋体" w:hAnsi="宋体" w:eastAsia="宋体" w:cs="宋体"/>
                <w:b/>
                <w:bCs/>
                <w:sz w:val="21"/>
                <w:szCs w:val="21"/>
                <w:lang w:val="zh-CN"/>
              </w:rPr>
              <w:t>,否则不得分。</w:t>
            </w:r>
          </w:p>
        </w:tc>
        <w:tc>
          <w:tcPr>
            <w:tcW w:w="1119" w:type="dxa"/>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779" w:type="dxa"/>
            <w:gridSpan w:val="3"/>
            <w:vAlign w:val="center"/>
          </w:tcPr>
          <w:p>
            <w:pPr>
              <w:pStyle w:val="18"/>
              <w:keepNext w:val="0"/>
              <w:keepLines w:val="0"/>
              <w:suppressLineNumbers w:val="0"/>
              <w:spacing w:before="0" w:beforeAutospacing="0" w:afterAutospacing="0"/>
              <w:ind w:left="720" w:right="0" w:firstLine="482"/>
              <w:jc w:val="center"/>
              <w:rPr>
                <w:rFonts w:hint="default" w:ascii="宋体" w:hAnsi="宋体" w:eastAsia="宋体" w:cs="宋体"/>
                <w:b/>
                <w:bCs/>
                <w:sz w:val="21"/>
                <w:szCs w:val="21"/>
              </w:rPr>
            </w:pPr>
            <w:r>
              <w:rPr>
                <w:rFonts w:hint="eastAsia" w:ascii="宋体" w:hAnsi="宋体" w:eastAsia="宋体" w:cs="宋体"/>
                <w:b/>
                <w:bCs/>
                <w:sz w:val="21"/>
                <w:szCs w:val="21"/>
              </w:rPr>
              <w:t>二、技术分</w:t>
            </w:r>
          </w:p>
        </w:tc>
        <w:tc>
          <w:tcPr>
            <w:tcW w:w="1119"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
                <w:bCs/>
                <w:sz w:val="21"/>
                <w:szCs w:val="21"/>
              </w:rPr>
            </w:pPr>
            <w:r>
              <w:rPr>
                <w:rFonts w:hint="eastAsia" w:ascii="宋体" w:hAnsi="宋体" w:eastAsia="宋体" w:cs="宋体"/>
                <w:b/>
                <w:bCs/>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8</w:t>
            </w:r>
          </w:p>
        </w:tc>
        <w:tc>
          <w:tcPr>
            <w:tcW w:w="1730" w:type="dxa"/>
            <w:vAlign w:val="center"/>
          </w:tcPr>
          <w:p>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bCs/>
                <w:i w:val="0"/>
                <w:caps w:val="0"/>
                <w:color w:val="auto"/>
                <w:spacing w:val="0"/>
                <w:w w:val="100"/>
                <w:kern w:val="0"/>
                <w:sz w:val="21"/>
                <w:szCs w:val="21"/>
                <w:highlight w:val="none"/>
                <w:lang w:val="en-US" w:eastAsia="zh-CN" w:bidi="ar-SA"/>
              </w:rPr>
            </w:pPr>
            <w:r>
              <w:rPr>
                <w:rFonts w:hint="eastAsia" w:ascii="宋体" w:hAnsi="宋体" w:eastAsia="宋体" w:cs="宋体"/>
                <w:sz w:val="21"/>
                <w:szCs w:val="21"/>
              </w:rPr>
              <w:t>工程概况</w:t>
            </w:r>
          </w:p>
        </w:tc>
        <w:tc>
          <w:tcPr>
            <w:tcW w:w="6276"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Times New Roman" w:hAnsi="Times New Roman" w:eastAsia="宋体" w:cs="Times New Roman"/>
                <w:b w:val="0"/>
                <w:bCs w:val="0"/>
                <w:i w:val="0"/>
                <w:caps w:val="0"/>
                <w:color w:val="auto"/>
                <w:spacing w:val="0"/>
                <w:w w:val="100"/>
                <w:kern w:val="0"/>
                <w:sz w:val="21"/>
                <w:szCs w:val="21"/>
                <w:highlight w:val="none"/>
                <w:lang w:val="en-US" w:eastAsia="zh-CN" w:bidi="ar-SA"/>
              </w:rPr>
            </w:pPr>
            <w:r>
              <w:rPr>
                <w:rFonts w:hint="eastAsia" w:ascii="宋体" w:hAnsi="宋体" w:eastAsia="宋体" w:cs="宋体"/>
                <w:b w:val="0"/>
                <w:bCs w:val="0"/>
                <w:color w:val="auto"/>
                <w:sz w:val="21"/>
                <w:szCs w:val="21"/>
                <w:highlight w:val="none"/>
                <w:lang w:bidi="ar"/>
              </w:rPr>
              <w:t>根据供应商对本工程主要情况、各专业设计简介和工程施工条件等进行综合阐述</w:t>
            </w:r>
            <w:r>
              <w:rPr>
                <w:rFonts w:hint="eastAsia" w:ascii="宋体" w:hAnsi="宋体" w:eastAsia="宋体" w:cs="宋体"/>
                <w:b w:val="0"/>
                <w:bCs w:val="0"/>
                <w:color w:val="auto"/>
                <w:sz w:val="21"/>
                <w:szCs w:val="21"/>
                <w:highlight w:val="none"/>
              </w:rPr>
              <w:t>，</w:t>
            </w:r>
            <w:r>
              <w:rPr>
                <w:rFonts w:hint="default" w:ascii="Times New Roman" w:hAnsi="Times New Roman" w:eastAsia="宋体" w:cs="Times New Roman"/>
                <w:b w:val="0"/>
                <w:bCs w:val="0"/>
                <w:color w:val="auto"/>
                <w:sz w:val="21"/>
                <w:szCs w:val="21"/>
                <w:highlight w:val="none"/>
              </w:rPr>
              <w:t>由评委进行评分</w:t>
            </w:r>
            <w:r>
              <w:rPr>
                <w:rFonts w:hint="eastAsia" w:ascii="宋体" w:hAnsi="宋体" w:eastAsia="宋体" w:cs="宋体"/>
                <w:b w:val="0"/>
                <w:bCs w:val="0"/>
                <w:color w:val="auto"/>
                <w:sz w:val="21"/>
                <w:szCs w:val="21"/>
                <w:highlight w:val="none"/>
              </w:rPr>
              <w:t>。</w:t>
            </w:r>
          </w:p>
        </w:tc>
        <w:tc>
          <w:tcPr>
            <w:tcW w:w="1119" w:type="dxa"/>
            <w:vAlign w:val="center"/>
          </w:tcPr>
          <w:p>
            <w:pPr>
              <w:keepNext w:val="0"/>
              <w:keepLines w:val="0"/>
              <w:pageBreakBefore w:val="0"/>
              <w:suppressLineNumbers w:val="0"/>
              <w:kinsoku/>
              <w:wordWrap/>
              <w:overflowPunct/>
              <w:topLinePunct w:val="0"/>
              <w:bidi w:val="0"/>
              <w:snapToGrid/>
              <w:spacing w:before="0" w:beforeAutospacing="0" w:after="0" w:afterAutospacing="0" w:line="340" w:lineRule="exact"/>
              <w:ind w:left="0" w:leftChars="0" w:right="0" w:rightChars="0"/>
              <w:jc w:val="center"/>
              <w:textAlignment w:val="baseline"/>
              <w:rPr>
                <w:rFonts w:hint="default" w:ascii="Times New Roman" w:hAnsi="Times New Roman" w:eastAsia="宋体" w:cs="Times New Roman"/>
                <w:b w:val="0"/>
                <w:i w:val="0"/>
                <w:caps w:val="0"/>
                <w:color w:val="auto"/>
                <w:spacing w:val="0"/>
                <w:w w:val="100"/>
                <w:kern w:val="0"/>
                <w:sz w:val="21"/>
                <w:szCs w:val="21"/>
                <w:highlight w:val="none"/>
                <w:lang w:val="en-US" w:eastAsia="zh-CN" w:bidi="ar-SA"/>
              </w:rPr>
            </w:pPr>
            <w:r>
              <w:rPr>
                <w:rFonts w:hint="eastAsia" w:ascii="Times New Roman" w:hAnsi="Times New Roman" w:eastAsia="宋体" w:cs="Times New Roman"/>
                <w:b w:val="0"/>
                <w:i w:val="0"/>
                <w:caps w:val="0"/>
                <w:color w:val="auto"/>
                <w:spacing w:val="0"/>
                <w:w w:val="100"/>
                <w:kern w:val="0"/>
                <w:sz w:val="21"/>
                <w:szCs w:val="21"/>
                <w:highlight w:val="none"/>
                <w:shd w:val="clear" w:color="auto" w:fil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9</w:t>
            </w:r>
          </w:p>
        </w:tc>
        <w:tc>
          <w:tcPr>
            <w:tcW w:w="1730" w:type="dxa"/>
            <w:vAlign w:val="center"/>
          </w:tcPr>
          <w:p>
            <w:pPr>
              <w:keepNext w:val="0"/>
              <w:keepLines w:val="0"/>
              <w:suppressLineNumbers w:val="0"/>
              <w:adjustRightInd w:val="0"/>
              <w:snapToGrid w:val="0"/>
              <w:spacing w:before="156"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施工方案</w:t>
            </w:r>
          </w:p>
        </w:tc>
        <w:tc>
          <w:tcPr>
            <w:tcW w:w="6276" w:type="dxa"/>
            <w:vAlign w:val="center"/>
          </w:tcPr>
          <w:p>
            <w:pPr>
              <w:keepNext w:val="0"/>
              <w:keepLines w:val="0"/>
              <w:suppressLineNumbers w:val="0"/>
              <w:spacing w:before="0" w:beforeAutospacing="0" w:after="0" w:afterAutospacing="0"/>
              <w:ind w:left="0" w:right="0"/>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根据供应商施工方案的科学性、严密性、合理性进行打分（包括但不限于施工准备充足，投入人力、材料和机械设备齐全，施工顺序明确，各阶段衔接到位）。</w:t>
            </w:r>
          </w:p>
        </w:tc>
        <w:tc>
          <w:tcPr>
            <w:tcW w:w="1119"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1730" w:type="dxa"/>
            <w:vAlign w:val="center"/>
          </w:tcPr>
          <w:p>
            <w:pPr>
              <w:keepNext w:val="0"/>
              <w:keepLines w:val="0"/>
              <w:suppressLineNumbers w:val="0"/>
              <w:spacing w:before="0" w:beforeAutospacing="0" w:after="0" w:afterAutospacing="0"/>
              <w:ind w:left="0" w:right="0"/>
              <w:rPr>
                <w:rFonts w:hint="default" w:ascii="宋体" w:hAnsi="宋体" w:eastAsia="宋体" w:cs="宋体"/>
                <w:sz w:val="21"/>
                <w:szCs w:val="21"/>
              </w:rPr>
            </w:pPr>
            <w:r>
              <w:rPr>
                <w:rFonts w:hint="eastAsia" w:ascii="宋体" w:hAnsi="宋体" w:eastAsia="宋体" w:cs="宋体"/>
                <w:sz w:val="21"/>
                <w:szCs w:val="21"/>
              </w:rPr>
              <w:t>施工进度计划</w:t>
            </w:r>
          </w:p>
        </w:tc>
        <w:tc>
          <w:tcPr>
            <w:tcW w:w="6276" w:type="dxa"/>
            <w:vAlign w:val="center"/>
          </w:tcPr>
          <w:p>
            <w:pPr>
              <w:keepNext w:val="0"/>
              <w:keepLines w:val="0"/>
              <w:suppressLineNumbers w:val="0"/>
              <w:spacing w:before="0" w:beforeAutospacing="0" w:after="0" w:afterAutospacing="0"/>
              <w:ind w:left="0" w:right="0"/>
              <w:rPr>
                <w:rFonts w:hint="default" w:ascii="宋体" w:hAnsi="宋体" w:eastAsia="宋体" w:cs="宋体"/>
                <w:sz w:val="21"/>
                <w:szCs w:val="21"/>
              </w:rPr>
            </w:pPr>
            <w:r>
              <w:rPr>
                <w:rFonts w:hint="eastAsia" w:ascii="宋体" w:hAnsi="宋体" w:eastAsia="宋体" w:cs="宋体"/>
                <w:sz w:val="21"/>
                <w:szCs w:val="21"/>
              </w:rPr>
              <w:t>供应商将施工顺序和各个阶段工程进展情况做出均衡协调、科学安排，将施工部署在时间上予以体现，由评委根据是否结合项目现场情况对其科学性、合理性等方面由磋商小组进行打分。</w:t>
            </w:r>
          </w:p>
        </w:tc>
        <w:tc>
          <w:tcPr>
            <w:tcW w:w="111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11</w:t>
            </w:r>
          </w:p>
        </w:tc>
        <w:tc>
          <w:tcPr>
            <w:tcW w:w="173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sz w:val="21"/>
                <w:szCs w:val="21"/>
              </w:rPr>
              <w:t>施工部署</w:t>
            </w:r>
          </w:p>
        </w:tc>
        <w:tc>
          <w:tcPr>
            <w:tcW w:w="6276" w:type="dxa"/>
            <w:vAlign w:val="center"/>
          </w:tcPr>
          <w:p>
            <w:pPr>
              <w:keepNext w:val="0"/>
              <w:keepLines w:val="0"/>
              <w:suppressLineNumbers w:val="0"/>
              <w:spacing w:before="0" w:beforeAutospacing="0" w:after="0" w:afterAutospacing="0"/>
              <w:ind w:left="0" w:right="0"/>
              <w:rPr>
                <w:rFonts w:hint="default" w:ascii="宋体" w:hAnsi="宋体" w:eastAsia="宋体" w:cs="宋体"/>
                <w:sz w:val="21"/>
                <w:szCs w:val="21"/>
              </w:rPr>
            </w:pPr>
            <w:r>
              <w:rPr>
                <w:rFonts w:hint="eastAsia" w:ascii="宋体" w:hAnsi="宋体" w:eastAsia="宋体" w:cs="宋体"/>
                <w:sz w:val="21"/>
                <w:szCs w:val="21"/>
              </w:rPr>
              <w:t>供应商根据施工合同、采购文件以及本单位对工程管理目标的要求，对本工程的进度安排和空间组织、重难点分析等进行综合阐述，由评委根据是否结合项目现场情况对其科学性、合理性等方面进行评分。</w:t>
            </w:r>
          </w:p>
        </w:tc>
        <w:tc>
          <w:tcPr>
            <w:tcW w:w="111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12</w:t>
            </w:r>
          </w:p>
        </w:tc>
        <w:tc>
          <w:tcPr>
            <w:tcW w:w="1730"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安全生产、安全文明、交通疏导的保证措施</w:t>
            </w:r>
          </w:p>
        </w:tc>
        <w:tc>
          <w:tcPr>
            <w:tcW w:w="6276" w:type="dxa"/>
            <w:vAlign w:val="center"/>
          </w:tcPr>
          <w:p>
            <w:pPr>
              <w:keepNext w:val="0"/>
              <w:keepLines w:val="0"/>
              <w:suppressLineNumbers w:val="0"/>
              <w:spacing w:before="0" w:beforeAutospacing="0" w:after="0" w:afterAutospacing="0" w:line="240" w:lineRule="auto"/>
              <w:ind w:left="0" w:leftChars="0" w:right="0" w:rightChars="0"/>
              <w:jc w:val="left"/>
              <w:rPr>
                <w:rFonts w:hint="eastAsia" w:ascii="宋体" w:hAnsi="宋体" w:eastAsia="宋体" w:cs="宋体"/>
                <w:sz w:val="21"/>
                <w:szCs w:val="21"/>
              </w:rPr>
            </w:pPr>
            <w:r>
              <w:rPr>
                <w:rFonts w:hint="eastAsia" w:ascii="宋体" w:hAnsi="宋体" w:eastAsia="宋体" w:cs="宋体"/>
                <w:b w:val="0"/>
                <w:bCs w:val="0"/>
                <w:color w:val="auto"/>
                <w:sz w:val="21"/>
                <w:szCs w:val="21"/>
                <w:highlight w:val="none"/>
                <w:lang w:val="en-US" w:eastAsia="zh-CN"/>
              </w:rPr>
              <w:t>根据供应商针对本项目提供的安全生产、安全文明、交通组织的措施方案的操作性和针对性强弱，由评委进行打分。</w:t>
            </w:r>
          </w:p>
        </w:tc>
        <w:tc>
          <w:tcPr>
            <w:tcW w:w="1119"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13</w:t>
            </w:r>
          </w:p>
        </w:tc>
        <w:tc>
          <w:tcPr>
            <w:tcW w:w="1730" w:type="dxa"/>
            <w:vAlign w:val="center"/>
          </w:tcPr>
          <w:p>
            <w:pPr>
              <w:pStyle w:val="18"/>
              <w:keepNext w:val="0"/>
              <w:keepLines w:val="0"/>
              <w:suppressLineNumbers w:val="0"/>
              <w:spacing w:before="0" w:beforeAutospacing="0" w:after="0" w:afterAutospacing="0"/>
              <w:ind w:left="0" w:leftChars="0" w:right="0"/>
              <w:jc w:val="center"/>
              <w:rPr>
                <w:rFonts w:hint="eastAsia" w:ascii="宋体" w:hAnsi="宋体" w:eastAsia="宋体" w:cs="宋体"/>
                <w:kern w:val="2"/>
                <w:sz w:val="21"/>
                <w:szCs w:val="21"/>
                <w:lang w:val="en-US" w:eastAsia="zh-CN" w:bidi="ar-SA"/>
              </w:rPr>
            </w:pPr>
            <w:r>
              <w:rPr>
                <w:rFonts w:hint="eastAsia" w:ascii="宋体" w:hAnsi="宋体" w:eastAsia="宋体"/>
                <w:sz w:val="21"/>
                <w:szCs w:val="21"/>
              </w:rPr>
              <w:t>质量承诺</w:t>
            </w:r>
          </w:p>
        </w:tc>
        <w:tc>
          <w:tcPr>
            <w:tcW w:w="6276" w:type="dxa"/>
            <w:vAlign w:val="center"/>
          </w:tcPr>
          <w:p>
            <w:pPr>
              <w:keepNext w:val="0"/>
              <w:keepLines w:val="0"/>
              <w:widowControl/>
              <w:suppressLineNumbers w:val="0"/>
              <w:spacing w:before="0" w:beforeAutospacing="0" w:after="0" w:afterAutospacing="0"/>
              <w:ind w:left="0" w:right="248" w:rightChars="69"/>
              <w:rPr>
                <w:rFonts w:hint="eastAsia" w:ascii="宋体" w:hAnsi="宋体" w:eastAsia="宋体" w:cs="宋体"/>
                <w:kern w:val="2"/>
                <w:sz w:val="21"/>
                <w:szCs w:val="21"/>
                <w:lang w:val="en-US" w:eastAsia="zh-CN" w:bidi="ar-SA"/>
              </w:rPr>
            </w:pPr>
            <w:r>
              <w:rPr>
                <w:rFonts w:hint="eastAsia" w:ascii="宋体" w:hAnsi="宋体" w:eastAsia="宋体"/>
                <w:color w:val="000000"/>
                <w:sz w:val="21"/>
                <w:szCs w:val="21"/>
              </w:rPr>
              <w:t>根据质量的保证措施和手段是否科学、可靠性</w:t>
            </w:r>
            <w:r>
              <w:rPr>
                <w:rFonts w:hint="eastAsia" w:ascii="宋体" w:hAnsi="宋体" w:eastAsia="宋体" w:cs="宋体"/>
                <w:bCs/>
                <w:color w:val="000000"/>
                <w:sz w:val="21"/>
                <w:szCs w:val="21"/>
              </w:rPr>
              <w:t>等情况，</w:t>
            </w:r>
            <w:r>
              <w:rPr>
                <w:rFonts w:hint="eastAsia" w:ascii="宋体" w:hAnsi="宋体" w:eastAsia="宋体" w:cs="宋体"/>
                <w:sz w:val="21"/>
                <w:szCs w:val="21"/>
              </w:rPr>
              <w:t>由评委自行综合打分。</w:t>
            </w:r>
          </w:p>
        </w:tc>
        <w:tc>
          <w:tcPr>
            <w:tcW w:w="1119" w:type="dxa"/>
            <w:vAlign w:val="center"/>
          </w:tcPr>
          <w:p>
            <w:pPr>
              <w:pStyle w:val="18"/>
              <w:keepNext w:val="0"/>
              <w:keepLines w:val="0"/>
              <w:suppressLineNumbers w:val="0"/>
              <w:spacing w:before="0" w:beforeAutospacing="0" w:afterAutospacing="0"/>
              <w:ind w:left="0" w:leftChars="0" w:right="0"/>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773" w:type="dxa"/>
            <w:vAlign w:val="center"/>
          </w:tcPr>
          <w:p>
            <w:pPr>
              <w:pStyle w:val="18"/>
              <w:keepNext w:val="0"/>
              <w:keepLines w:val="0"/>
              <w:suppressLineNumbers w:val="0"/>
              <w:spacing w:before="0" w:beforeAutospacing="0" w:afterAutospacing="0"/>
              <w:ind w:left="0" w:leftChars="0" w:right="0"/>
              <w:jc w:val="center"/>
              <w:rPr>
                <w:rFonts w:hint="default" w:ascii="宋体" w:hAnsi="宋体" w:eastAsia="宋体" w:cs="宋体"/>
                <w:bCs/>
                <w:sz w:val="21"/>
                <w:szCs w:val="21"/>
                <w:lang w:val="en-US" w:eastAsia="zh-CN"/>
              </w:rPr>
            </w:pPr>
            <w:r>
              <w:rPr>
                <w:rFonts w:hint="eastAsia" w:ascii="宋体" w:hAnsi="宋体" w:eastAsia="宋体"/>
                <w:bCs/>
                <w:sz w:val="21"/>
                <w:szCs w:val="21"/>
                <w:lang w:val="en-US" w:eastAsia="zh-CN"/>
              </w:rPr>
              <w:t>14</w:t>
            </w:r>
          </w:p>
        </w:tc>
        <w:tc>
          <w:tcPr>
            <w:tcW w:w="173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kern w:val="0"/>
                <w:sz w:val="21"/>
                <w:szCs w:val="21"/>
              </w:rPr>
              <w:t>应急处置方案</w:t>
            </w:r>
          </w:p>
        </w:tc>
        <w:tc>
          <w:tcPr>
            <w:tcW w:w="6276" w:type="dxa"/>
            <w:vAlign w:val="center"/>
          </w:tcPr>
          <w:p>
            <w:pPr>
              <w:keepNext w:val="0"/>
              <w:keepLines w:val="0"/>
              <w:widowControl/>
              <w:suppressLineNumbers w:val="0"/>
              <w:spacing w:before="0" w:beforeAutospacing="0" w:after="0" w:afterAutospacing="0" w:line="300" w:lineRule="exact"/>
              <w:ind w:left="0" w:right="-83" w:rightChars="-23"/>
              <w:rPr>
                <w:rFonts w:hint="default" w:ascii="宋体" w:hAnsi="宋体" w:eastAsia="宋体" w:cs="宋体"/>
                <w:sz w:val="21"/>
                <w:szCs w:val="21"/>
              </w:rPr>
            </w:pPr>
            <w:r>
              <w:rPr>
                <w:rFonts w:hint="eastAsia" w:ascii="宋体" w:hAnsi="宋体" w:eastAsia="宋体" w:cs="宋体"/>
                <w:color w:val="auto"/>
                <w:sz w:val="21"/>
                <w:szCs w:val="21"/>
                <w:highlight w:val="none"/>
              </w:rPr>
              <w:t>根据供应商提供的应急预案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包括但不限于针对具体的事故类别、危险源和应急保障而制定的计划或方案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及承诺紧急的响应时间，由评委进行评分。</w:t>
            </w:r>
          </w:p>
        </w:tc>
        <w:tc>
          <w:tcPr>
            <w:tcW w:w="1119" w:type="dxa"/>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1"/>
                <w:szCs w:val="21"/>
                <w:lang w:eastAsia="zh-CN"/>
              </w:rPr>
            </w:pPr>
            <w:r>
              <w:rPr>
                <w:rFonts w:hint="eastAsia" w:ascii="宋体" w:hAnsi="宋体" w:cs="宋体" w:eastAsiaTheme="minorEastAsia"/>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73" w:type="dxa"/>
            <w:vAlign w:val="center"/>
          </w:tcPr>
          <w:p>
            <w:pPr>
              <w:pStyle w:val="18"/>
              <w:keepNext w:val="0"/>
              <w:keepLines w:val="0"/>
              <w:suppressLineNumbers w:val="0"/>
              <w:spacing w:before="0" w:beforeAutospacing="0" w:after="0" w:afterAutospacing="0"/>
              <w:ind w:left="0" w:leftChars="0" w:right="0"/>
              <w:jc w:val="center"/>
              <w:rPr>
                <w:rFonts w:hint="eastAsia" w:ascii="宋体" w:hAnsi="宋体" w:eastAsia="宋体"/>
                <w:bCs/>
                <w:sz w:val="21"/>
                <w:szCs w:val="21"/>
                <w:lang w:eastAsia="zh-CN"/>
              </w:rPr>
            </w:pPr>
            <w:r>
              <w:rPr>
                <w:rFonts w:hint="eastAsia" w:ascii="宋体" w:hAnsi="宋体"/>
                <w:bCs/>
                <w:sz w:val="21"/>
                <w:szCs w:val="21"/>
              </w:rPr>
              <w:t>1</w:t>
            </w:r>
            <w:r>
              <w:rPr>
                <w:rFonts w:hint="eastAsia" w:ascii="宋体" w:hAnsi="宋体" w:eastAsia="宋体"/>
                <w:bCs/>
                <w:sz w:val="21"/>
                <w:szCs w:val="21"/>
                <w:lang w:val="en-US" w:eastAsia="zh-CN"/>
              </w:rPr>
              <w:t>5</w:t>
            </w:r>
          </w:p>
        </w:tc>
        <w:tc>
          <w:tcPr>
            <w:tcW w:w="1730" w:type="dxa"/>
            <w:vAlign w:val="center"/>
          </w:tcPr>
          <w:p>
            <w:pPr>
              <w:pStyle w:val="18"/>
              <w:keepNext w:val="0"/>
              <w:keepLines w:val="0"/>
              <w:suppressLineNumbers w:val="0"/>
              <w:spacing w:before="0" w:beforeAutospacing="0" w:after="0" w:afterAutospacing="0"/>
              <w:ind w:left="0" w:leftChars="0" w:right="0"/>
              <w:jc w:val="center"/>
              <w:rPr>
                <w:rFonts w:hint="default" w:ascii="宋体" w:hAnsi="宋体" w:eastAsia="宋体"/>
                <w:sz w:val="21"/>
                <w:szCs w:val="21"/>
              </w:rPr>
            </w:pPr>
            <w:r>
              <w:rPr>
                <w:rFonts w:hint="eastAsia" w:ascii="宋体" w:hAnsi="宋体" w:eastAsia="宋体"/>
                <w:sz w:val="21"/>
                <w:szCs w:val="21"/>
              </w:rPr>
              <w:t>合理性建议</w:t>
            </w:r>
          </w:p>
        </w:tc>
        <w:tc>
          <w:tcPr>
            <w:tcW w:w="6276" w:type="dxa"/>
            <w:vAlign w:val="center"/>
          </w:tcPr>
          <w:p>
            <w:pPr>
              <w:keepNext w:val="0"/>
              <w:keepLines w:val="0"/>
              <w:widowControl/>
              <w:suppressLineNumbers w:val="0"/>
              <w:spacing w:before="0" w:beforeAutospacing="0" w:after="0" w:afterAutospacing="0"/>
              <w:ind w:left="0" w:right="248" w:rightChars="69"/>
              <w:rPr>
                <w:rFonts w:hint="default" w:ascii="宋体" w:hAnsi="宋体" w:eastAsia="宋体" w:cs="宋体"/>
                <w:bCs/>
                <w:sz w:val="21"/>
                <w:szCs w:val="21"/>
              </w:rPr>
            </w:pPr>
            <w:r>
              <w:rPr>
                <w:rFonts w:hint="eastAsia" w:ascii="宋体" w:hAnsi="宋体" w:eastAsia="宋体" w:cs="宋体"/>
                <w:sz w:val="21"/>
                <w:szCs w:val="21"/>
              </w:rPr>
              <w:t>供应商进行现场勘察结合采购人本次要求提出合理化建议。</w:t>
            </w:r>
          </w:p>
        </w:tc>
        <w:tc>
          <w:tcPr>
            <w:tcW w:w="1119" w:type="dxa"/>
            <w:vAlign w:val="center"/>
          </w:tcPr>
          <w:p>
            <w:pPr>
              <w:pStyle w:val="18"/>
              <w:keepNext w:val="0"/>
              <w:keepLines w:val="0"/>
              <w:suppressLineNumbers w:val="0"/>
              <w:spacing w:before="0" w:beforeAutospacing="0" w:afterAutospacing="0"/>
              <w:ind w:left="0" w:leftChars="0" w:right="0"/>
              <w:jc w:val="center"/>
              <w:rPr>
                <w:rFonts w:hint="eastAsia" w:ascii="宋体" w:hAnsi="宋体" w:cs="宋体" w:eastAsiaTheme="minorEastAsia"/>
                <w:kern w:val="0"/>
                <w:sz w:val="21"/>
                <w:szCs w:val="21"/>
                <w:lang w:eastAsia="zh-CN"/>
              </w:rPr>
            </w:pPr>
            <w:r>
              <w:rPr>
                <w:rFonts w:hint="eastAsia" w:ascii="宋体" w:hAnsi="宋体" w:cs="宋体" w:eastAsiaTheme="minor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773"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sz w:val="21"/>
                <w:szCs w:val="21"/>
              </w:rPr>
            </w:pPr>
            <w:r>
              <w:rPr>
                <w:rFonts w:hint="eastAsia" w:ascii="宋体" w:hAnsi="宋体" w:eastAsia="宋体" w:cs="宋体"/>
                <w:b/>
                <w:sz w:val="21"/>
                <w:szCs w:val="21"/>
              </w:rPr>
              <w:t>备注</w:t>
            </w:r>
          </w:p>
        </w:tc>
        <w:tc>
          <w:tcPr>
            <w:tcW w:w="9125" w:type="dxa"/>
            <w:gridSpan w:val="3"/>
            <w:vAlign w:val="center"/>
          </w:tcPr>
          <w:p>
            <w:pPr>
              <w:keepNext w:val="0"/>
              <w:keepLines w:val="0"/>
              <w:widowControl/>
              <w:suppressLineNumbers w:val="0"/>
              <w:spacing w:before="0" w:beforeAutospacing="0" w:after="0" w:afterAutospacing="0"/>
              <w:ind w:left="0" w:right="248" w:rightChars="69"/>
              <w:rPr>
                <w:rFonts w:hint="default" w:ascii="宋体" w:hAnsi="宋体" w:eastAsia="宋体" w:cs="宋体"/>
                <w:b/>
                <w:bCs/>
                <w:sz w:val="21"/>
                <w:szCs w:val="21"/>
              </w:rPr>
            </w:pPr>
            <w:r>
              <w:rPr>
                <w:rFonts w:hint="eastAsia" w:ascii="宋体" w:hAnsi="宋体" w:eastAsia="宋体" w:cs="宋体"/>
                <w:b/>
                <w:bCs/>
                <w:sz w:val="21"/>
                <w:szCs w:val="21"/>
              </w:rPr>
              <w:t>1、评委打分小数点后保留一位；</w:t>
            </w:r>
          </w:p>
          <w:p>
            <w:pPr>
              <w:keepNext w:val="0"/>
              <w:keepLines w:val="0"/>
              <w:widowControl/>
              <w:suppressLineNumbers w:val="0"/>
              <w:spacing w:before="0" w:beforeAutospacing="0" w:after="0" w:afterAutospacing="0"/>
              <w:ind w:left="0" w:right="248" w:rightChars="69"/>
              <w:rPr>
                <w:rFonts w:hint="default" w:ascii="宋体" w:hAnsi="宋体" w:eastAsia="宋体" w:cs="宋体"/>
                <w:b/>
                <w:bCs/>
                <w:sz w:val="21"/>
                <w:szCs w:val="21"/>
              </w:rPr>
            </w:pPr>
            <w:r>
              <w:rPr>
                <w:rFonts w:hint="eastAsia" w:ascii="宋体" w:hAnsi="宋体" w:eastAsia="宋体" w:cs="宋体"/>
                <w:b/>
                <w:bCs/>
                <w:sz w:val="21"/>
                <w:szCs w:val="21"/>
              </w:rPr>
              <w:t>2、公路工程相关专业职称包括公路工程、桥梁工程、公路与桥梁工程、交通土建、隧道（地下结构）工程、交通工程等专业职称。</w:t>
            </w:r>
          </w:p>
        </w:tc>
      </w:tr>
    </w:tbl>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beforeLines="0" w:afterLines="0" w:line="360" w:lineRule="auto"/>
        <w:jc w:val="both"/>
        <w:rPr>
          <w:rFonts w:hint="eastAsia" w:ascii="宋体" w:hAnsi="宋体" w:eastAsia="宋体" w:cs="宋体"/>
          <w:b/>
          <w:color w:val="auto"/>
          <w:sz w:val="30"/>
          <w:szCs w:val="30"/>
        </w:rPr>
        <w:sectPr>
          <w:footerReference r:id="rId6" w:type="default"/>
          <w:pgSz w:w="11906" w:h="16838"/>
          <w:pgMar w:top="1588" w:right="1418" w:bottom="1588" w:left="1418" w:header="1021" w:footer="1134" w:gutter="0"/>
          <w:lnNumType w:countBy="0" w:distance="360"/>
          <w:cols w:space="720" w:num="1"/>
          <w:docGrid w:type="lines" w:linePitch="312" w:charSpace="0"/>
        </w:sectPr>
      </w:pP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beforeLines="0" w:afterLines="0" w:line="360" w:lineRule="auto"/>
        <w:jc w:val="center"/>
        <w:rPr>
          <w:rFonts w:hint="eastAsia" w:ascii="宋体" w:hAnsi="宋体" w:eastAsia="宋体" w:cs="Times New Roman"/>
          <w:b/>
          <w:bCs w:val="0"/>
          <w:color w:val="000000"/>
          <w:kern w:val="2"/>
          <w:sz w:val="44"/>
          <w:szCs w:val="44"/>
        </w:rPr>
      </w:pPr>
      <w:r>
        <w:rPr>
          <w:rFonts w:hint="eastAsia" w:ascii="宋体" w:hAnsi="宋体" w:eastAsia="宋体" w:cs="宋体"/>
          <w:b/>
          <w:color w:val="auto"/>
          <w:sz w:val="30"/>
          <w:szCs w:val="30"/>
        </w:rPr>
        <w:t xml:space="preserve"> </w:t>
      </w:r>
      <w:bookmarkEnd w:id="60"/>
      <w:bookmarkStart w:id="61" w:name="_Toc240724385"/>
      <w:bookmarkStart w:id="62" w:name="_Toc306901462"/>
      <w:r>
        <w:rPr>
          <w:rFonts w:hint="eastAsia" w:ascii="宋体" w:hAnsi="宋体" w:eastAsia="宋体" w:cs="宋体"/>
          <w:b/>
          <w:color w:val="000000" w:themeColor="text1"/>
          <w:sz w:val="30"/>
          <w:szCs w:val="30"/>
          <w14:textFill>
            <w14:solidFill>
              <w14:schemeClr w14:val="tx1"/>
            </w14:solidFill>
          </w14:textFill>
        </w:rPr>
        <w:t xml:space="preserve">第五部分 </w:t>
      </w:r>
      <w:r>
        <w:rPr>
          <w:rFonts w:hint="eastAsia" w:ascii="宋体" w:hAnsi="宋体" w:cs="宋体"/>
          <w:b/>
          <w:sz w:val="28"/>
          <w:szCs w:val="28"/>
        </w:rPr>
        <w:t xml:space="preserve"> </w:t>
      </w:r>
      <w:r>
        <w:rPr>
          <w:rFonts w:hint="eastAsia" w:ascii="宋体" w:hAnsi="宋体" w:eastAsia="宋体" w:cs="宋体"/>
          <w:b/>
          <w:color w:val="000000" w:themeColor="text1"/>
          <w:sz w:val="30"/>
          <w:szCs w:val="30"/>
          <w:lang w:val="en-US" w:eastAsia="zh-CN"/>
          <w14:textFill>
            <w14:solidFill>
              <w14:schemeClr w14:val="tx1"/>
            </w14:solidFill>
          </w14:textFill>
        </w:rPr>
        <w:t>合同条款及格式</w:t>
      </w:r>
    </w:p>
    <w:p>
      <w:pPr>
        <w:pStyle w:val="3"/>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color w:val="000000"/>
          <w:spacing w:val="-6"/>
          <w:kern w:val="2"/>
          <w:sz w:val="28"/>
          <w:szCs w:val="28"/>
        </w:rPr>
      </w:pPr>
      <w:bookmarkStart w:id="63" w:name="_Toc288491489"/>
      <w:bookmarkEnd w:id="63"/>
      <w:bookmarkStart w:id="64" w:name="_Toc16087"/>
      <w:bookmarkEnd w:id="64"/>
      <w:bookmarkStart w:id="65" w:name="_Toc235846354"/>
      <w:bookmarkEnd w:id="65"/>
      <w:bookmarkStart w:id="66" w:name="_Toc282779473"/>
      <w:bookmarkEnd w:id="66"/>
      <w:bookmarkStart w:id="67" w:name="_Toc13880"/>
      <w:bookmarkEnd w:id="67"/>
      <w:bookmarkStart w:id="68" w:name="_Toc118378071"/>
      <w:bookmarkEnd w:id="68"/>
      <w:bookmarkStart w:id="69" w:name="_Toc1616"/>
      <w:bookmarkEnd w:id="69"/>
      <w:bookmarkStart w:id="70" w:name="_Toc18076"/>
      <w:bookmarkEnd w:id="70"/>
      <w:bookmarkStart w:id="71" w:name="_Toc282787410"/>
      <w:bookmarkEnd w:id="71"/>
      <w:bookmarkStart w:id="72" w:name="_Toc283794161"/>
      <w:bookmarkEnd w:id="72"/>
      <w:bookmarkStart w:id="73" w:name="_Toc7271"/>
      <w:bookmarkEnd w:id="73"/>
      <w:bookmarkStart w:id="74" w:name="_Toc1114"/>
      <w:bookmarkEnd w:id="74"/>
      <w:bookmarkStart w:id="75" w:name="_Toc233423234"/>
      <w:bookmarkEnd w:id="75"/>
      <w:bookmarkStart w:id="76" w:name="_Toc30957"/>
      <w:bookmarkEnd w:id="76"/>
      <w:bookmarkStart w:id="77" w:name="_Toc26666"/>
      <w:bookmarkEnd w:id="77"/>
      <w:bookmarkStart w:id="78" w:name="_Toc233429750"/>
      <w:bookmarkEnd w:id="78"/>
      <w:bookmarkStart w:id="79" w:name="_Toc237255129"/>
      <w:bookmarkEnd w:id="79"/>
      <w:bookmarkStart w:id="80" w:name="_Toc233214801"/>
      <w:bookmarkEnd w:id="80"/>
      <w:bookmarkStart w:id="81" w:name="_Toc1032"/>
      <w:bookmarkEnd w:id="81"/>
      <w:bookmarkStart w:id="82" w:name="_Toc282778964"/>
      <w:bookmarkEnd w:id="82"/>
      <w:bookmarkStart w:id="83" w:name="_Toc233435961"/>
      <w:bookmarkEnd w:id="83"/>
      <w:bookmarkStart w:id="84" w:name="_Toc17640"/>
      <w:bookmarkEnd w:id="84"/>
      <w:bookmarkStart w:id="85" w:name="_Toc233290349"/>
      <w:bookmarkEnd w:id="85"/>
      <w:bookmarkStart w:id="86" w:name="_Toc287853313"/>
      <w:bookmarkEnd w:id="86"/>
      <w:bookmarkStart w:id="87" w:name="_Toc16300"/>
      <w:bookmarkEnd w:id="87"/>
      <w:bookmarkStart w:id="88" w:name="_Toc237923789"/>
      <w:bookmarkEnd w:id="88"/>
      <w:bookmarkStart w:id="89" w:name="_Toc514936600"/>
      <w:bookmarkEnd w:id="89"/>
      <w:bookmarkStart w:id="90" w:name="_Toc32724"/>
      <w:bookmarkEnd w:id="90"/>
      <w:bookmarkStart w:id="91" w:name="_Toc12454"/>
      <w:r>
        <w:rPr>
          <w:rFonts w:hint="eastAsia" w:ascii="宋体" w:hAnsi="宋体" w:eastAsia="宋体" w:cs="宋体"/>
          <w:b/>
          <w:bCs w:val="0"/>
          <w:color w:val="000000"/>
          <w:spacing w:val="-6"/>
          <w:kern w:val="2"/>
          <w:sz w:val="28"/>
          <w:szCs w:val="28"/>
        </w:rPr>
        <w:t>第一节  通用合同条款</w:t>
      </w:r>
      <w:bookmarkEnd w:id="91"/>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92" w:name="_Toc282778965"/>
      <w:bookmarkEnd w:id="92"/>
      <w:bookmarkStart w:id="93" w:name="_Toc282787411"/>
      <w:bookmarkEnd w:id="93"/>
      <w:bookmarkStart w:id="94" w:name="_Toc24849"/>
      <w:bookmarkEnd w:id="94"/>
      <w:bookmarkStart w:id="95" w:name="_Toc514936601"/>
      <w:bookmarkEnd w:id="95"/>
      <w:bookmarkStart w:id="96" w:name="_Toc9402"/>
      <w:bookmarkEnd w:id="96"/>
      <w:bookmarkStart w:id="97" w:name="_Toc22551"/>
      <w:bookmarkEnd w:id="97"/>
      <w:bookmarkStart w:id="98" w:name="_Toc3807"/>
      <w:bookmarkEnd w:id="98"/>
      <w:bookmarkStart w:id="99" w:name="_Toc25605"/>
      <w:bookmarkEnd w:id="99"/>
      <w:bookmarkStart w:id="100" w:name="_Toc282779474"/>
      <w:bookmarkEnd w:id="100"/>
      <w:bookmarkStart w:id="101" w:name="_Toc753"/>
      <w:bookmarkEnd w:id="101"/>
      <w:bookmarkStart w:id="102" w:name="_Toc25438"/>
      <w:bookmarkEnd w:id="102"/>
      <w:bookmarkStart w:id="103" w:name="_Toc20984"/>
      <w:bookmarkEnd w:id="103"/>
      <w:bookmarkStart w:id="104" w:name="_Toc283794162"/>
      <w:bookmarkEnd w:id="104"/>
      <w:bookmarkStart w:id="105" w:name="_Toc237923790"/>
      <w:bookmarkEnd w:id="105"/>
      <w:bookmarkStart w:id="106" w:name="_Toc26781"/>
      <w:bookmarkEnd w:id="106"/>
      <w:bookmarkStart w:id="107" w:name="_Toc118378072"/>
      <w:bookmarkEnd w:id="107"/>
      <w:bookmarkStart w:id="108" w:name="_Toc288491490"/>
      <w:bookmarkEnd w:id="108"/>
      <w:bookmarkStart w:id="109" w:name="_Toc287853314"/>
      <w:bookmarkEnd w:id="109"/>
      <w:bookmarkStart w:id="110" w:name="_Toc179632629"/>
      <w:bookmarkEnd w:id="110"/>
      <w:bookmarkStart w:id="111" w:name="_Toc152045611"/>
      <w:bookmarkEnd w:id="111"/>
      <w:bookmarkStart w:id="112" w:name="_Toc144974579"/>
      <w:bookmarkEnd w:id="112"/>
      <w:bookmarkStart w:id="113" w:name="_Toc23086"/>
      <w:bookmarkEnd w:id="113"/>
      <w:bookmarkStart w:id="114" w:name="_Toc23474"/>
      <w:bookmarkEnd w:id="114"/>
      <w:bookmarkStart w:id="115" w:name="_Toc5638"/>
      <w:bookmarkEnd w:id="115"/>
      <w:bookmarkStart w:id="116" w:name="_Toc152042389"/>
      <w:bookmarkEnd w:id="116"/>
      <w:bookmarkStart w:id="117" w:name="_Toc14958"/>
      <w:r>
        <w:rPr>
          <w:rFonts w:hint="eastAsia" w:ascii="宋体" w:hAnsi="宋体" w:eastAsia="宋体" w:cs="宋体"/>
          <w:color w:val="000000"/>
          <w:kern w:val="2"/>
          <w:sz w:val="21"/>
          <w:szCs w:val="21"/>
          <w:lang w:val="en-US" w:eastAsia="zh-CN" w:bidi="ar"/>
        </w:rPr>
        <w:t>1．一般约定</w:t>
      </w:r>
      <w:bookmarkEnd w:id="117"/>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8" w:name="_Toc282778966"/>
      <w:bookmarkEnd w:id="118"/>
      <w:bookmarkStart w:id="119" w:name="_Toc283794163"/>
      <w:bookmarkEnd w:id="119"/>
      <w:bookmarkStart w:id="120" w:name="_Toc282787412"/>
      <w:bookmarkEnd w:id="120"/>
      <w:bookmarkStart w:id="121" w:name="_Toc288491491"/>
      <w:bookmarkEnd w:id="121"/>
      <w:bookmarkStart w:id="122" w:name="_Toc287853315"/>
      <w:bookmarkEnd w:id="122"/>
      <w:bookmarkStart w:id="123" w:name="_Toc179632630"/>
      <w:bookmarkEnd w:id="123"/>
      <w:bookmarkStart w:id="124" w:name="_Toc282779475"/>
      <w:bookmarkEnd w:id="124"/>
      <w:bookmarkStart w:id="125" w:name="_Toc237923791"/>
      <w:bookmarkEnd w:id="125"/>
      <w:bookmarkStart w:id="126" w:name="_Toc152045612"/>
      <w:bookmarkEnd w:id="126"/>
      <w:bookmarkStart w:id="127" w:name="_Toc144974580"/>
      <w:bookmarkEnd w:id="127"/>
      <w:bookmarkStart w:id="128" w:name="_Toc152042390"/>
      <w:r>
        <w:rPr>
          <w:rFonts w:hint="eastAsia" w:ascii="宋体" w:hAnsi="宋体" w:eastAsia="宋体" w:cs="宋体"/>
          <w:color w:val="000000"/>
          <w:kern w:val="2"/>
          <w:sz w:val="21"/>
          <w:szCs w:val="21"/>
          <w:lang w:val="en-US" w:eastAsia="zh-CN" w:bidi="ar"/>
        </w:rPr>
        <w:t>1.1  词语定义</w:t>
      </w:r>
      <w:bookmarkEnd w:id="12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通用合同条款、专用合同条款中的下列词语应具有本款所赋予的含义。</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  合同</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1.1.1.1  合同文件（或称合同）：指合同协议书、中标通知书、投标函及投标函附录、专用合同条款、通用合同条款、技术标准和要求、图纸、已标价工程量清单，以及其他合同文件。</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1.1.1.2  合同协议书：指第1.5款所指的合同协议书。</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1.1.1.3  中标通知书：指发包人通知承包人中标的函件。</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strike w:val="0"/>
          <w:dstrike/>
          <w:color w:val="000000"/>
          <w:kern w:val="2"/>
          <w:sz w:val="21"/>
          <w:szCs w:val="21"/>
        </w:rPr>
      </w:pPr>
      <w:r>
        <w:rPr>
          <w:rFonts w:hint="eastAsia" w:ascii="宋体" w:hAnsi="宋体" w:eastAsia="宋体" w:cs="宋体"/>
          <w:color w:val="000000"/>
          <w:kern w:val="2"/>
          <w:sz w:val="21"/>
          <w:szCs w:val="21"/>
          <w:lang w:val="en-US" w:eastAsia="zh-CN" w:bidi="ar"/>
        </w:rPr>
        <w:t>1.1.1.4  投标函：指构成合同文件组成部分的由承包人填写并签署的投标函。</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1.1.1.5  投标函附录：指附在投标函后构成合同文件的投标函附录。</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1.1.1.6  技术规范：指本合同所约定的技术标准和要求，是合同文件的组成部分。通用合同条款中“技术标准和要求”一词具有相同含义。</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1.1.1.7  图纸：指包含在合同中的工程图纸，以及由发包人按合同约定提供的任何补充和修改的图纸，包括配套的说明。</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1.1.1.8  已标价工程量清单：指构成合同文件组成部分的已标明价格、经算术性错误修正及其他错误修正（如有）且承包人已确认的最终的工程量清单，包括工程量清单说明、投标报价说明、其他说明及工程量清单各项表格。</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1.1.1.9  其他合同文件：指经合同双方当事人确认构成合同文件的其他文件。</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1.1.1.10  补遗书：指发出招标文件之后由招标人向取得招标文件的投标人发出的、编号的，对招标文件所作的澄清、修改书。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  合同当事人和人员</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1.1.2.1  合同当事人:指发包人和（或）承包人。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1.1.2.2  发包人：指专用合同条款中指明并与承包人在合同协议书中签字的当事人。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1.1.2.3  承包人：指其投标已为发包人所接受，并与发包人签订了实施本合同公路养护工程合同协议书的当事人（承包人），以及取得该当事人（承包人）资格的合法继承人（承包人）。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1.1.2.4  承包人项目经理：指由承包人书面委派常驻现场负责执行本合同和管理本合同公路养护工程的代表。</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1.1.2.5  分包人：指从承包人处分包合同中某一部分工程，并与其签订分包合同的分包人。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1.1.2.6  监理人：指发包人为实施本合同委托的承担本合同工程监理工作的独立法人。必须是经工商注册并持有交通主管部门核发的资质证书或资信登记的专职监理企业，依照核定的监理业务范围，承担相应公路工程的监理业务；或由市公路管理部门或发包人组织的内部专业监理，并须将设置的项目监理组织机构、到岗人员及项目监理工作计划报市交通工程质监站，审批后方可开展工作。</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监理组织必须接受市交通工程质监站对其监理资格，监理质量控制体系及监理工作质量的监督检查。</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1.1.2.7  总监理工程师（总监）：指由监理人委派常驻施工场地对合同履行实施管理的全权负责人。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1.1.2.8  承包人项目总工：指由承包人书面委派常驻现场负责执行、管理本合同公路养护工程的总工程师或技术总负责人。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  工程和设备</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  小修保养工程（适用于小修保养工程）：是指保持公路及其附属设施的正常使用功能，进行经常性保养和修补其轻微损坏部分的作业。这些作业内容按公路养护工程考核进行质量考核、实行总价承包的工程；</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专项养护按《交通养护工程工程量清单计价规范》（DB33）工程细目计量单位、工程量计算规则、计价工程内容及计量规则，以单价计量支付的工程。</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  中修工程（适用于大中修养护工程）：指对公路及其沿线设施的一般损坏部分进行定期的修理加固，以恢复公路原有技术状况的工程。</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大修工程：指对公路及其沿线设施的较大损坏进行周期性的综合修理，以全面恢复到原技术标准，或在原技术等级范围内进行局部改善和个别增建，以逐步提高公路通行能力的工程项目。</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1.1.3.2  永久工程：指按合同约定建造并移交给发包人的工程，包括工程设备。</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1.1.3.3  临时工程：指为完成合同约定的永久工程所修建的各类临时性工程，不包括施工设备。</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1.1.3.4  单位工程：指在养护工程项目中，根据签订的合同，具有独立施工条件实行单价承包作业的工程。</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1.1.3.5  工程设备：指构成或计划构成永久工程一部分的机电设备、金属结构设备、仪器装置及其他类似的设备和装置。</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1.1.3.6  施工设备：指为完成合同约定的各项工作所需的设备、器具和其他物品，不包括临时工程和材料。</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1.1.3.7  临时设施：指为完成合同约定的各项工作所服务的临时性生产和生活设施。</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1.1.3.8  承包人设备：指承包人自带的施工设备。</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1.1.3.9  施工场地（或称工地、现场）：指用于合同工程施工的场所，以及在合同中指定作为施工场地组成部分的其他场所，包括永久占地和临时占地。</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1.1.3.10  永久占地：指专用合同条款中指明为实施合同工程需永久占用的土地。</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1.1.3.11  临时占地：指专用合同条款中指明为实施合同工程需临时占用的土地。</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1.1.3.12  分部工程：指在单位工程中，按结构部位、路段长度及施工特点或施工任务划分的若干个工程。</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1.1.3.13  分项工程：指在分部工程中，按不同的施工方法、材料、工序及路段长度等划分的若干个工程。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  日期</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1.1.4.1  开工通知：指监理人按第11.1款通知承包人开工的函件。</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1.1.4.2  开工日期：指监理人按第11.1款发出的开工通知中写明的开工日期。</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1.1.4.3  工期：指承包人在投标函中承诺的完成合同工程所需的期限，包括按第11.3款、第11.4款和第11.6款约定所作的变更。</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1.1.4.4  竣工日期：指第1.1.4.3目约定工期届满时的日期。实际竣工日期以工程接收证书中写明的日期为准。</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1.1.4.5  缺陷责任期：指履行第19.2款约定的缺陷责任的期限，具体期限由专用合同条款约定，包括根据第19.3款约定所作的延长。</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1.1.4.6  基准日期：指投标截止时间前28天的日期。</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1.1.4.7  天：除特别指明外，指日历天。合同中按天计算时间的，开始当天不计入，从次日开始计算。期限最后一天的截止时间为当天24:00。</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  合同价格和费用</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1.1.5.1  签约合同价：指签定合同时合同协议书中写明的，包括了暂列金额、暂估价的合同总金额。</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1.1.5.2  合同价格：指承包人按合同约定完成了包括缺陷责任期内的全部承包工作后，发包人应付给承包人的金额，包括在履行合同过程中按合同约定进行的变更和调整。</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1.1.5.3  费用：指为履行合同所发生的或将要发生的所有合理开支，包括管理费和应分摊的其他费用，但不包括利润。</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1.1.5.4  暂列金额：指已标价工程量清单中所列的暂列金额，用于在签订协议书时尚未确定或不可预见变更的施工及其所需材料、工程设备、服务等的金额，包括以计日工方式支付的金额。</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1.1.5.5  暂估价：指发包人在工程量清单中给定的用于支付必然发生但暂时不能确定价格的材料、设备以及专业工程的金额。</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1.1.5.6  计日工：指对零星工作采取的一种计价方式，按合同中的计日工子目及其单价计价付款。</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1.1.5.7  质量保证金（或称保留金）：指按第17.4.1项约定用于保证在缺陷责任期内履行缺陷修复义务的金额。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  其他</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1.1.6.1  书面形式：指合同文件、信函、电报、传真等可以有形地表现所载内容的形式。</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1.1.6.2  交工验收：指本工程已按合同规定实质上完工，并按合同规定完成了检测和检验，且按《浙江省公路大中修工程交（竣）工文件编制办法（试行）》（省公路局 浙公路[2005]51号）的规定，编制好竣工图表和施工资料后，承包人可向监理人提出交（竣）工验收和发给交工证书的申请，同时抄送发包人。如经交（竣）工验收认为质量合格，发包人应在验收工作完毕后14天内向承包人签发交工证书。通用合同条款中“竣工验收”一词具有相同含义。</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1.1.6.3  转包：指承包人违反法律和不履行合同规定的责任和义务，将中标工程全部委托或以专业分包的名义将中标工程肢解后全部委托给其他养护企业施工的行为。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1.1.6.4  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1.1.6.5  劳务分包：指承包人与具有劳务分包资质的劳务企业签订劳务分包合同，由劳务企业提供劳务人员及机具，由承包人统一组织施工，统一控制工程质量、施工进度、材料采购、生产安全的施工行为。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1.1.6.6  雇用民工：指承包人与具有相应劳动能力的自然人签订劳动合同，由承包人统一组织管理，从事分项工程施工或配套工程施工的行为。</w:t>
      </w:r>
    </w:p>
    <w:p>
      <w:pPr>
        <w:keepNext w:val="0"/>
        <w:keepLines w:val="0"/>
        <w:widowControl w:val="0"/>
        <w:suppressLineNumbers w:val="0"/>
        <w:spacing w:before="0" w:beforeAutospacing="0" w:after="0" w:afterAutospacing="0" w:line="400" w:lineRule="exact"/>
        <w:ind w:left="720" w:leftChars="20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1.1.6.7  进度付款证书：指在最后支付证书之外的、由监理人（或发包人）签发的任何支付证书。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9" w:name="_Toc282778967"/>
      <w:bookmarkEnd w:id="129"/>
      <w:bookmarkStart w:id="130" w:name="_Toc282787413"/>
      <w:bookmarkEnd w:id="130"/>
      <w:bookmarkStart w:id="131" w:name="_Toc287853316"/>
      <w:bookmarkEnd w:id="131"/>
      <w:bookmarkStart w:id="132" w:name="_Toc288491492"/>
      <w:bookmarkEnd w:id="132"/>
      <w:bookmarkStart w:id="133" w:name="_Toc283794164"/>
      <w:bookmarkEnd w:id="133"/>
      <w:bookmarkStart w:id="134" w:name="_Toc282779476"/>
      <w:r>
        <w:rPr>
          <w:rFonts w:hint="eastAsia" w:ascii="宋体" w:hAnsi="宋体" w:eastAsia="宋体" w:cs="宋体"/>
          <w:color w:val="000000"/>
          <w:kern w:val="2"/>
          <w:sz w:val="21"/>
          <w:szCs w:val="21"/>
          <w:lang w:val="en-US" w:eastAsia="zh-CN" w:bidi="ar"/>
        </w:rPr>
        <w:t>1.2  语言文字</w:t>
      </w:r>
      <w:bookmarkEnd w:id="13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除专用术语外，合同使用的语言文字为中文。必要时专用术语应附有中文注释。</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5" w:name="_Toc152042392"/>
      <w:bookmarkEnd w:id="135"/>
      <w:bookmarkStart w:id="136" w:name="_Toc144974582"/>
      <w:bookmarkEnd w:id="136"/>
      <w:bookmarkStart w:id="137" w:name="_Toc282779477"/>
      <w:bookmarkEnd w:id="137"/>
      <w:bookmarkStart w:id="138" w:name="_Toc282787414"/>
      <w:bookmarkEnd w:id="138"/>
      <w:bookmarkStart w:id="139" w:name="_Toc288491493"/>
      <w:bookmarkEnd w:id="139"/>
      <w:bookmarkStart w:id="140" w:name="_Toc287853317"/>
      <w:bookmarkEnd w:id="140"/>
      <w:bookmarkStart w:id="141" w:name="_Toc237923793"/>
      <w:bookmarkEnd w:id="141"/>
      <w:bookmarkStart w:id="142" w:name="_Toc179632632"/>
      <w:bookmarkEnd w:id="142"/>
      <w:bookmarkStart w:id="143" w:name="_Toc152045614"/>
      <w:bookmarkEnd w:id="143"/>
      <w:bookmarkStart w:id="144" w:name="_Toc282778968"/>
      <w:bookmarkEnd w:id="144"/>
      <w:bookmarkStart w:id="145" w:name="_Toc283794165"/>
      <w:r>
        <w:rPr>
          <w:rFonts w:hint="eastAsia" w:ascii="宋体" w:hAnsi="宋体" w:eastAsia="宋体" w:cs="宋体"/>
          <w:color w:val="000000"/>
          <w:kern w:val="2"/>
          <w:sz w:val="21"/>
          <w:szCs w:val="21"/>
          <w:lang w:val="en-US" w:eastAsia="zh-CN" w:bidi="ar"/>
        </w:rPr>
        <w:t>1.3  法律</w:t>
      </w:r>
      <w:bookmarkEnd w:id="14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适用于合同的法律包括中华人民共和国法律、行政法规、部门规章，以及工程所在地的地方法规、自治条例、单行条例和地方政府规章。</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6" w:name="_Toc152042393"/>
      <w:bookmarkEnd w:id="146"/>
      <w:bookmarkStart w:id="147" w:name="_Toc283794166"/>
      <w:bookmarkEnd w:id="147"/>
      <w:bookmarkStart w:id="148" w:name="_Toc287853318"/>
      <w:bookmarkEnd w:id="148"/>
      <w:bookmarkStart w:id="149" w:name="_Toc179632633"/>
      <w:bookmarkEnd w:id="149"/>
      <w:bookmarkStart w:id="150" w:name="_Toc288491494"/>
      <w:bookmarkEnd w:id="150"/>
      <w:bookmarkStart w:id="151" w:name="_Toc282779478"/>
      <w:bookmarkEnd w:id="151"/>
      <w:bookmarkStart w:id="152" w:name="_Toc152045615"/>
      <w:bookmarkEnd w:id="152"/>
      <w:bookmarkStart w:id="153" w:name="_Toc282778969"/>
      <w:bookmarkEnd w:id="153"/>
      <w:bookmarkStart w:id="154" w:name="_Toc282787415"/>
      <w:bookmarkEnd w:id="154"/>
      <w:bookmarkStart w:id="155" w:name="_Toc144974583"/>
      <w:bookmarkEnd w:id="155"/>
      <w:bookmarkStart w:id="156" w:name="_Toc237923794"/>
      <w:r>
        <w:rPr>
          <w:rFonts w:hint="eastAsia" w:ascii="宋体" w:hAnsi="宋体" w:eastAsia="宋体" w:cs="宋体"/>
          <w:color w:val="000000"/>
          <w:kern w:val="2"/>
          <w:sz w:val="21"/>
          <w:szCs w:val="21"/>
          <w:lang w:val="en-US" w:eastAsia="zh-CN" w:bidi="ar"/>
        </w:rPr>
        <w:t>1.4  合同文件的优先顺序</w:t>
      </w:r>
      <w:bookmarkEnd w:id="15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bookmarkStart w:id="157" w:name="_Toc152045616"/>
      <w:bookmarkEnd w:id="157"/>
      <w:bookmarkStart w:id="158" w:name="_Toc152042394"/>
      <w:bookmarkEnd w:id="158"/>
      <w:bookmarkStart w:id="159" w:name="_Toc144974584"/>
      <w:bookmarkEnd w:id="159"/>
      <w:bookmarkStart w:id="160" w:name="_Toc237923795"/>
      <w:bookmarkEnd w:id="160"/>
      <w:bookmarkStart w:id="161" w:name="_Toc179632634"/>
      <w:r>
        <w:rPr>
          <w:rFonts w:hint="eastAsia" w:ascii="宋体" w:hAnsi="宋体" w:eastAsia="宋体" w:cs="宋体"/>
          <w:color w:val="000000"/>
          <w:kern w:val="2"/>
          <w:sz w:val="21"/>
          <w:szCs w:val="21"/>
          <w:lang w:val="en-US" w:eastAsia="zh-CN" w:bidi="ar"/>
        </w:rPr>
        <w:t>组成合同的各项文件应互相解释，互为说明。除项目专用合同条款另有约定外，解释合同文件的优先顺序如下：</w:t>
      </w:r>
      <w:bookmarkEnd w:id="16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（1）合同协议书及各种合同附件（含廉政合同和安全生产合同，评标期间和合同谈判过程中的澄清文件和补充资料）；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（2）中标通知书；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（3）投标函及投标函附录；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（4）项目专用合同条款；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（5）公路养护工程专用合同条款；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（6）通用合同条款；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（7）技术规范；</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（8）图纸（含招标文件补遗书中与此有关部分）；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（9）已标价工程量清单；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（10）承包人有关人员、设备投入、财务能力的承诺及投标文件中的养护工程作业方案；</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（11）其他合同文件。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2" w:name="_Toc282779479"/>
      <w:bookmarkEnd w:id="162"/>
      <w:bookmarkStart w:id="163" w:name="_Toc283794167"/>
      <w:bookmarkEnd w:id="163"/>
      <w:bookmarkStart w:id="164" w:name="_Toc282778970"/>
      <w:bookmarkEnd w:id="164"/>
      <w:bookmarkStart w:id="165" w:name="_Toc282787416"/>
      <w:bookmarkEnd w:id="165"/>
      <w:bookmarkStart w:id="166" w:name="_Toc287853319"/>
      <w:bookmarkEnd w:id="166"/>
      <w:bookmarkStart w:id="167" w:name="_Toc288491495"/>
      <w:r>
        <w:rPr>
          <w:rFonts w:hint="eastAsia" w:ascii="宋体" w:hAnsi="宋体" w:eastAsia="宋体" w:cs="宋体"/>
          <w:color w:val="000000"/>
          <w:kern w:val="2"/>
          <w:sz w:val="21"/>
          <w:szCs w:val="21"/>
          <w:lang w:val="en-US" w:eastAsia="zh-CN" w:bidi="ar"/>
        </w:rPr>
        <w:t>1.5  合同协议书</w:t>
      </w:r>
      <w:bookmarkEnd w:id="16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承包人按中标通知书规定的时间与发包人签订合同协议书。除法律另有规定或合同另有约定外，发包人和承包人的法定代表人或其委托代理人在合同协议书上签字并盖单位章后，合同生效。</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8" w:name="_Toc237923796"/>
      <w:bookmarkEnd w:id="168"/>
      <w:bookmarkStart w:id="169" w:name="_Toc288491496"/>
      <w:bookmarkEnd w:id="169"/>
      <w:bookmarkStart w:id="170" w:name="_Toc144974585"/>
      <w:bookmarkEnd w:id="170"/>
      <w:bookmarkStart w:id="171" w:name="_Toc287853320"/>
      <w:bookmarkEnd w:id="171"/>
      <w:bookmarkStart w:id="172" w:name="_Toc152042395"/>
      <w:bookmarkEnd w:id="172"/>
      <w:bookmarkStart w:id="173" w:name="_Toc179632635"/>
      <w:bookmarkEnd w:id="173"/>
      <w:bookmarkStart w:id="174" w:name="_Toc152045617"/>
      <w:bookmarkEnd w:id="174"/>
      <w:bookmarkStart w:id="175" w:name="_Toc282779480"/>
      <w:bookmarkEnd w:id="175"/>
      <w:bookmarkStart w:id="176" w:name="_Toc283794168"/>
      <w:bookmarkEnd w:id="176"/>
      <w:bookmarkStart w:id="177" w:name="_Toc282787417"/>
      <w:bookmarkEnd w:id="177"/>
      <w:bookmarkStart w:id="178" w:name="_Toc282778971"/>
      <w:r>
        <w:rPr>
          <w:rFonts w:hint="eastAsia" w:ascii="宋体" w:hAnsi="宋体" w:eastAsia="宋体" w:cs="宋体"/>
          <w:color w:val="000000"/>
          <w:kern w:val="2"/>
          <w:sz w:val="21"/>
          <w:szCs w:val="21"/>
          <w:lang w:val="en-US" w:eastAsia="zh-CN" w:bidi="ar"/>
        </w:rPr>
        <w:t>1.6  图纸和承包人文件</w:t>
      </w:r>
      <w:bookmarkEnd w:id="17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  图纸的提供</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应在发出中标通知书之后14天内，向承包人免费提供有关技术资料（养护技术规范、道路及构筑物现况、公路养护质量检查记录及次、差路率情况、）或由发包人委托的设计单位设计的正确实施和完成及其缺陷修复所需的补充图纸2份，并向承包人作技术交底。承包人需要更多份数时，应自费复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上述与本合同相关技术资料，未经发包人同意承包人不得提供给与本工程施工无关的第三方。养护承包期结束，在发给缺陷责任证书时，承包人应将发包人提供的养护技术规范、养护技术资料和所有图纸以及承包人在养护承包期内积累的所有养护记录和资料（包括台账）全部交还给发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由于发包人未按时提供图纸和有关技术资料而造成工期延误的，按第11.3款的约定办理。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1.6.2  承包人提供的文件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按专用合同条款约定由承包人提供的文件，包括部分工程的大样图、加工图等，承包人应按约定的数量和期限报送监理人。监理人应在专用合同条款约定的期限内批复。</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1.6.3  图纸的修改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图纸需要修改和补充的，应由监理人取得发包人同意后，在该工程或工程相应部位施工前的合理期限内签发图纸修改图给承包人，具体签发期限在专用合同条款中约定。承包人应按修改后的图纸施工。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1.6.4  图纸的错误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承包人发现发包人提供的图纸存在明显错误或疏忽，应及时通知监理人。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1.6.5  图纸和承包人文件的保管</w:t>
      </w:r>
    </w:p>
    <w:p>
      <w:pPr>
        <w:keepNext w:val="0"/>
        <w:keepLines w:val="0"/>
        <w:widowControl w:val="0"/>
        <w:suppressLineNumbers w:val="0"/>
        <w:spacing w:before="0" w:beforeAutospacing="0" w:after="0" w:afterAutospacing="0" w:line="400" w:lineRule="exact"/>
        <w:ind w:left="202" w:leftChars="56" w:right="0" w:firstLine="315" w:firstLineChars="1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监理人和承包人均应在施工场地各保存一套完整的包含第1.6.1项、第1.6.2项、第1.6.3项约定内容的图纸和承包人文件。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9" w:name="_Toc282787418"/>
      <w:bookmarkEnd w:id="179"/>
      <w:bookmarkStart w:id="180" w:name="_Toc287853321"/>
      <w:bookmarkEnd w:id="180"/>
      <w:bookmarkStart w:id="181" w:name="_Toc179632636"/>
      <w:bookmarkEnd w:id="181"/>
      <w:bookmarkStart w:id="182" w:name="_Toc237923797"/>
      <w:bookmarkEnd w:id="182"/>
      <w:bookmarkStart w:id="183" w:name="_Toc283794169"/>
      <w:bookmarkEnd w:id="183"/>
      <w:bookmarkStart w:id="184" w:name="_Toc288491497"/>
      <w:bookmarkEnd w:id="184"/>
      <w:bookmarkStart w:id="185" w:name="_Toc282779481"/>
      <w:bookmarkEnd w:id="185"/>
      <w:bookmarkStart w:id="186" w:name="_Toc282778972"/>
      <w:bookmarkEnd w:id="186"/>
      <w:bookmarkStart w:id="187" w:name="_Toc152042396"/>
      <w:bookmarkEnd w:id="187"/>
      <w:bookmarkStart w:id="188" w:name="_Toc152045618"/>
      <w:bookmarkEnd w:id="188"/>
      <w:bookmarkStart w:id="189" w:name="_Toc144974586"/>
      <w:r>
        <w:rPr>
          <w:rFonts w:hint="eastAsia" w:ascii="宋体" w:hAnsi="宋体" w:eastAsia="宋体" w:cs="宋体"/>
          <w:color w:val="000000"/>
          <w:kern w:val="2"/>
          <w:sz w:val="21"/>
          <w:szCs w:val="21"/>
          <w:lang w:val="en-US" w:eastAsia="zh-CN" w:bidi="ar"/>
        </w:rPr>
        <w:t>1.7  联络</w:t>
      </w:r>
      <w:bookmarkEnd w:id="18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  与合同有关的通知、批准、证明、证书、指示、要求、请求、同意、意见、确定和决定等，均应采用书面形式。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  第1.7.1项中的通知、批准、证明、证书、指示、要求、请求、同意、意见、确定和决定等来往函件，均应在合同约定的期限内送达指定地点和接收人，并办理签收手续。</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0" w:name="_Toc152042397"/>
      <w:bookmarkEnd w:id="190"/>
      <w:bookmarkStart w:id="191" w:name="_Toc152045619"/>
      <w:bookmarkEnd w:id="191"/>
      <w:bookmarkStart w:id="192" w:name="_Toc287853322"/>
      <w:bookmarkEnd w:id="192"/>
      <w:bookmarkStart w:id="193" w:name="_Toc283794170"/>
      <w:bookmarkEnd w:id="193"/>
      <w:bookmarkStart w:id="194" w:name="_Toc144974587"/>
      <w:bookmarkEnd w:id="194"/>
      <w:bookmarkStart w:id="195" w:name="_Toc282778973"/>
      <w:bookmarkEnd w:id="195"/>
      <w:bookmarkStart w:id="196" w:name="_Toc282787419"/>
      <w:bookmarkEnd w:id="196"/>
      <w:bookmarkStart w:id="197" w:name="_Toc282779482"/>
      <w:bookmarkEnd w:id="197"/>
      <w:bookmarkStart w:id="198" w:name="_Toc237923798"/>
      <w:bookmarkEnd w:id="198"/>
      <w:bookmarkStart w:id="199" w:name="_Toc288491498"/>
      <w:bookmarkEnd w:id="199"/>
      <w:bookmarkStart w:id="200" w:name="_Toc179632637"/>
      <w:r>
        <w:rPr>
          <w:rFonts w:hint="eastAsia" w:ascii="宋体" w:hAnsi="宋体" w:eastAsia="宋体" w:cs="宋体"/>
          <w:color w:val="000000"/>
          <w:kern w:val="2"/>
          <w:sz w:val="21"/>
          <w:szCs w:val="21"/>
          <w:lang w:val="en-US" w:eastAsia="zh-CN" w:bidi="ar"/>
        </w:rPr>
        <w:t>1.8  转让</w:t>
      </w:r>
      <w:bookmarkEnd w:id="20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除合同另有约定外，未经对方当事人同意，一方当事人不得将合同权利全部或部分转让给第三人，也不得全部或部分转移合同义务。</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1" w:name="_Toc152045620"/>
      <w:bookmarkEnd w:id="201"/>
      <w:bookmarkStart w:id="202" w:name="_Toc282787420"/>
      <w:bookmarkEnd w:id="202"/>
      <w:bookmarkStart w:id="203" w:name="_Toc287853323"/>
      <w:bookmarkEnd w:id="203"/>
      <w:bookmarkStart w:id="204" w:name="_Toc237923799"/>
      <w:bookmarkEnd w:id="204"/>
      <w:bookmarkStart w:id="205" w:name="_Toc144974588"/>
      <w:bookmarkEnd w:id="205"/>
      <w:bookmarkStart w:id="206" w:name="_Toc282778974"/>
      <w:bookmarkEnd w:id="206"/>
      <w:bookmarkStart w:id="207" w:name="_Toc152042398"/>
      <w:bookmarkEnd w:id="207"/>
      <w:bookmarkStart w:id="208" w:name="_Toc282779483"/>
      <w:bookmarkEnd w:id="208"/>
      <w:bookmarkStart w:id="209" w:name="_Toc283794171"/>
      <w:bookmarkEnd w:id="209"/>
      <w:bookmarkStart w:id="210" w:name="_Toc179632638"/>
      <w:bookmarkEnd w:id="210"/>
      <w:bookmarkStart w:id="211" w:name="_Toc288491499"/>
      <w:r>
        <w:rPr>
          <w:rFonts w:hint="eastAsia" w:ascii="宋体" w:hAnsi="宋体" w:eastAsia="宋体" w:cs="宋体"/>
          <w:color w:val="000000"/>
          <w:kern w:val="2"/>
          <w:sz w:val="21"/>
          <w:szCs w:val="21"/>
          <w:lang w:val="en-US" w:eastAsia="zh-CN" w:bidi="ar"/>
        </w:rPr>
        <w:t>1.9  严禁贿赂</w:t>
      </w:r>
      <w:bookmarkEnd w:id="21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合同双方当事人不得以贿赂或变相贿赂的方式，谋取不当利益或损害对方权益。因贿赂造成对方损失的，行为人应赔偿损失，并承担相应的法律责任。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12" w:name="_Toc287853324"/>
      <w:bookmarkEnd w:id="212"/>
      <w:bookmarkStart w:id="213" w:name="_Toc288491500"/>
      <w:bookmarkEnd w:id="213"/>
      <w:bookmarkStart w:id="214" w:name="_Toc282787421"/>
      <w:bookmarkEnd w:id="214"/>
      <w:bookmarkStart w:id="215" w:name="_Toc282779484"/>
      <w:bookmarkEnd w:id="215"/>
      <w:bookmarkStart w:id="216" w:name="_Toc152042399"/>
      <w:bookmarkEnd w:id="216"/>
      <w:bookmarkStart w:id="217" w:name="_Toc144974589"/>
      <w:bookmarkEnd w:id="217"/>
      <w:bookmarkStart w:id="218" w:name="_Toc283794172"/>
      <w:bookmarkEnd w:id="218"/>
      <w:bookmarkStart w:id="219" w:name="_Toc179632639"/>
      <w:bookmarkEnd w:id="219"/>
      <w:bookmarkStart w:id="220" w:name="_Toc237923800"/>
      <w:bookmarkEnd w:id="220"/>
      <w:bookmarkStart w:id="221" w:name="_Toc152045621"/>
      <w:bookmarkEnd w:id="221"/>
      <w:bookmarkStart w:id="222" w:name="_Toc282778975"/>
      <w:r>
        <w:rPr>
          <w:rFonts w:hint="eastAsia" w:ascii="宋体" w:hAnsi="宋体" w:eastAsia="宋体" w:cs="宋体"/>
          <w:color w:val="000000"/>
          <w:kern w:val="2"/>
          <w:sz w:val="21"/>
          <w:szCs w:val="21"/>
          <w:lang w:val="en-US" w:eastAsia="zh-CN" w:bidi="ar"/>
        </w:rPr>
        <w:t>1.10  化石、文物</w:t>
      </w:r>
      <w:bookmarkEnd w:id="22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1.10.2  承包人发现文物后不及时报告或隐瞒不报，致使文物丢失或损坏的，应赔偿损失，并承担相应的法律责任。</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23" w:name="_Toc282787422"/>
      <w:bookmarkEnd w:id="223"/>
      <w:bookmarkStart w:id="224" w:name="_Toc237923801"/>
      <w:bookmarkEnd w:id="224"/>
      <w:bookmarkStart w:id="225" w:name="_Toc288491501"/>
      <w:bookmarkEnd w:id="225"/>
      <w:bookmarkStart w:id="226" w:name="_Toc283794173"/>
      <w:bookmarkEnd w:id="226"/>
      <w:bookmarkStart w:id="227" w:name="_Toc179632640"/>
      <w:bookmarkEnd w:id="227"/>
      <w:bookmarkStart w:id="228" w:name="_Toc152042400"/>
      <w:bookmarkEnd w:id="228"/>
      <w:bookmarkStart w:id="229" w:name="_Toc287853325"/>
      <w:bookmarkEnd w:id="229"/>
      <w:bookmarkStart w:id="230" w:name="_Toc282779485"/>
      <w:bookmarkEnd w:id="230"/>
      <w:bookmarkStart w:id="231" w:name="_Toc152045622"/>
      <w:bookmarkEnd w:id="231"/>
      <w:bookmarkStart w:id="232" w:name="_Toc144974590"/>
      <w:bookmarkEnd w:id="232"/>
      <w:bookmarkStart w:id="233" w:name="_Toc282778976"/>
      <w:r>
        <w:rPr>
          <w:rFonts w:hint="eastAsia" w:ascii="宋体" w:hAnsi="宋体" w:eastAsia="宋体" w:cs="宋体"/>
          <w:color w:val="000000"/>
          <w:kern w:val="2"/>
          <w:sz w:val="21"/>
          <w:szCs w:val="21"/>
          <w:lang w:val="en-US" w:eastAsia="zh-CN" w:bidi="ar"/>
        </w:rPr>
        <w:t>1.11  专利技术</w:t>
      </w:r>
      <w:bookmarkEnd w:id="23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1.11.1  承包人在使用任何材料、承包人设备、工程设备或采用施工工艺时，因侵犯专利权或其他知识产权所引起的责任，由承包人承担，但由于遵照发包人提供的设计或技术标准和要求引起的除外。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1.11.2  承包人在投标文件中采用专利技术的，专利技术的使用费包含在投标报价内。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1.11.3  承包人的技术秘密和声明需要保密的资料和信息，发包人和监理人不得为合同以外的目的泄露给他人。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34" w:name="_Toc282787423"/>
      <w:bookmarkEnd w:id="234"/>
      <w:bookmarkStart w:id="235" w:name="_Toc144974591"/>
      <w:bookmarkEnd w:id="235"/>
      <w:bookmarkStart w:id="236" w:name="_Toc287853326"/>
      <w:bookmarkEnd w:id="236"/>
      <w:bookmarkStart w:id="237" w:name="_Toc237923802"/>
      <w:bookmarkEnd w:id="237"/>
      <w:bookmarkStart w:id="238" w:name="_Toc283794174"/>
      <w:bookmarkEnd w:id="238"/>
      <w:bookmarkStart w:id="239" w:name="_Toc282778977"/>
      <w:bookmarkEnd w:id="239"/>
      <w:bookmarkStart w:id="240" w:name="_Toc179632641"/>
      <w:bookmarkEnd w:id="240"/>
      <w:bookmarkStart w:id="241" w:name="_Toc288491502"/>
      <w:bookmarkEnd w:id="241"/>
      <w:bookmarkStart w:id="242" w:name="_Toc152045623"/>
      <w:bookmarkEnd w:id="242"/>
      <w:bookmarkStart w:id="243" w:name="_Toc282779486"/>
      <w:bookmarkEnd w:id="243"/>
      <w:bookmarkStart w:id="244" w:name="_Toc152042401"/>
      <w:r>
        <w:rPr>
          <w:rFonts w:hint="eastAsia" w:ascii="宋体" w:hAnsi="宋体" w:eastAsia="宋体" w:cs="宋体"/>
          <w:color w:val="000000"/>
          <w:kern w:val="2"/>
          <w:sz w:val="21"/>
          <w:szCs w:val="21"/>
          <w:lang w:val="en-US" w:eastAsia="zh-CN" w:bidi="ar"/>
        </w:rPr>
        <w:t>1.12  图纸和文件的保密</w:t>
      </w:r>
      <w:bookmarkEnd w:id="24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1.12.1  发包人提供的图纸和文件，未经发包人同意，承包人不得为合同以外的目的泄露给他人或公开发表与引用。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1.12.2  承包人提供的文件，未经承包人同意，发包人和监理人不得为合同以外的目的泄露给他人或公开发表与引用。</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45" w:name="_Toc287853327"/>
      <w:bookmarkEnd w:id="245"/>
      <w:bookmarkStart w:id="246" w:name="_Toc32384"/>
      <w:bookmarkEnd w:id="246"/>
      <w:bookmarkStart w:id="247" w:name="_Toc152042402"/>
      <w:bookmarkEnd w:id="247"/>
      <w:bookmarkStart w:id="248" w:name="_Toc237923803"/>
      <w:bookmarkEnd w:id="248"/>
      <w:bookmarkStart w:id="249" w:name="_Toc28611"/>
      <w:bookmarkEnd w:id="249"/>
      <w:bookmarkStart w:id="250" w:name="_Toc20151"/>
      <w:bookmarkEnd w:id="250"/>
      <w:bookmarkStart w:id="251" w:name="_Toc282787424"/>
      <w:bookmarkEnd w:id="251"/>
      <w:bookmarkStart w:id="252" w:name="_Toc14922"/>
      <w:bookmarkEnd w:id="252"/>
      <w:bookmarkStart w:id="253" w:name="_Toc8797"/>
      <w:bookmarkEnd w:id="253"/>
      <w:bookmarkStart w:id="254" w:name="_Toc144974592"/>
      <w:bookmarkEnd w:id="254"/>
      <w:bookmarkStart w:id="255" w:name="_Toc26546"/>
      <w:bookmarkEnd w:id="255"/>
      <w:bookmarkStart w:id="256" w:name="_Toc118378073"/>
      <w:bookmarkEnd w:id="256"/>
      <w:bookmarkStart w:id="257" w:name="_Toc283794175"/>
      <w:bookmarkEnd w:id="257"/>
      <w:bookmarkStart w:id="258" w:name="_Toc282779487"/>
      <w:bookmarkEnd w:id="258"/>
      <w:bookmarkStart w:id="259" w:name="_Toc514936602"/>
      <w:bookmarkEnd w:id="259"/>
      <w:bookmarkStart w:id="260" w:name="_Toc28278"/>
      <w:bookmarkEnd w:id="260"/>
      <w:bookmarkStart w:id="261" w:name="_Toc152045624"/>
      <w:bookmarkEnd w:id="261"/>
      <w:bookmarkStart w:id="262" w:name="_Toc6684"/>
      <w:bookmarkEnd w:id="262"/>
      <w:bookmarkStart w:id="263" w:name="_Toc4788"/>
      <w:bookmarkEnd w:id="263"/>
      <w:bookmarkStart w:id="264" w:name="_Toc282778978"/>
      <w:bookmarkEnd w:id="264"/>
      <w:bookmarkStart w:id="265" w:name="_Toc179632642"/>
      <w:bookmarkEnd w:id="265"/>
      <w:bookmarkStart w:id="266" w:name="_Toc25542"/>
      <w:bookmarkEnd w:id="266"/>
      <w:bookmarkStart w:id="267" w:name="_Toc17773"/>
      <w:bookmarkEnd w:id="267"/>
      <w:bookmarkStart w:id="268" w:name="_Toc29442"/>
      <w:bookmarkEnd w:id="268"/>
      <w:bookmarkStart w:id="269" w:name="_Toc288491503"/>
      <w:bookmarkEnd w:id="269"/>
      <w:bookmarkStart w:id="270" w:name="_Toc13809"/>
      <w:r>
        <w:rPr>
          <w:rFonts w:hint="eastAsia" w:ascii="宋体" w:hAnsi="宋体" w:eastAsia="宋体" w:cs="宋体"/>
          <w:color w:val="000000"/>
          <w:kern w:val="2"/>
          <w:sz w:val="21"/>
          <w:szCs w:val="21"/>
          <w:lang w:val="en-US" w:eastAsia="zh-CN" w:bidi="ar"/>
        </w:rPr>
        <w:t>2．发包人义务</w:t>
      </w:r>
      <w:bookmarkEnd w:id="270"/>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71" w:name="_Toc283794176"/>
      <w:bookmarkEnd w:id="271"/>
      <w:bookmarkStart w:id="272" w:name="_Toc282787425"/>
      <w:bookmarkEnd w:id="272"/>
      <w:bookmarkStart w:id="273" w:name="_Toc287853328"/>
      <w:bookmarkEnd w:id="273"/>
      <w:bookmarkStart w:id="274" w:name="_Toc179632643"/>
      <w:bookmarkEnd w:id="274"/>
      <w:bookmarkStart w:id="275" w:name="_Toc282779488"/>
      <w:bookmarkEnd w:id="275"/>
      <w:bookmarkStart w:id="276" w:name="_Toc237923804"/>
      <w:bookmarkEnd w:id="276"/>
      <w:bookmarkStart w:id="277" w:name="_Toc144974593"/>
      <w:bookmarkEnd w:id="277"/>
      <w:bookmarkStart w:id="278" w:name="_Toc152045625"/>
      <w:bookmarkEnd w:id="278"/>
      <w:bookmarkStart w:id="279" w:name="_Toc282778979"/>
      <w:bookmarkEnd w:id="279"/>
      <w:bookmarkStart w:id="280" w:name="_Toc152042403"/>
      <w:bookmarkEnd w:id="280"/>
      <w:bookmarkStart w:id="281" w:name="_Toc288491504"/>
      <w:r>
        <w:rPr>
          <w:rFonts w:hint="eastAsia" w:ascii="宋体" w:hAnsi="宋体" w:eastAsia="宋体" w:cs="宋体"/>
          <w:color w:val="000000"/>
          <w:kern w:val="2"/>
          <w:sz w:val="21"/>
          <w:szCs w:val="21"/>
          <w:lang w:val="en-US" w:eastAsia="zh-CN" w:bidi="ar"/>
        </w:rPr>
        <w:t>2.1  遵守法律</w:t>
      </w:r>
      <w:bookmarkEnd w:id="28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发包人在履行合同过程中应遵守法律，并保证承包人免于承担因发包人违反法律而引起的任何责任。</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82" w:name="_Toc237923805"/>
      <w:bookmarkEnd w:id="282"/>
      <w:bookmarkStart w:id="283" w:name="_Toc288491505"/>
      <w:bookmarkEnd w:id="283"/>
      <w:bookmarkStart w:id="284" w:name="_Toc287853329"/>
      <w:bookmarkEnd w:id="284"/>
      <w:bookmarkStart w:id="285" w:name="_Toc282779489"/>
      <w:bookmarkEnd w:id="285"/>
      <w:bookmarkStart w:id="286" w:name="_Toc152045626"/>
      <w:bookmarkEnd w:id="286"/>
      <w:bookmarkStart w:id="287" w:name="_Toc283794177"/>
      <w:bookmarkEnd w:id="287"/>
      <w:bookmarkStart w:id="288" w:name="_Toc152042404"/>
      <w:bookmarkEnd w:id="288"/>
      <w:bookmarkStart w:id="289" w:name="_Toc144974594"/>
      <w:bookmarkEnd w:id="289"/>
      <w:bookmarkStart w:id="290" w:name="_Toc179632644"/>
      <w:bookmarkEnd w:id="290"/>
      <w:bookmarkStart w:id="291" w:name="_Toc282787426"/>
      <w:bookmarkEnd w:id="291"/>
      <w:bookmarkStart w:id="292" w:name="_Toc282778980"/>
      <w:r>
        <w:rPr>
          <w:rFonts w:hint="eastAsia" w:ascii="宋体" w:hAnsi="宋体" w:eastAsia="宋体" w:cs="宋体"/>
          <w:color w:val="000000"/>
          <w:kern w:val="2"/>
          <w:sz w:val="21"/>
          <w:szCs w:val="21"/>
          <w:lang w:val="en-US" w:eastAsia="zh-CN" w:bidi="ar"/>
        </w:rPr>
        <w:t>2.2  发出开工通知</w:t>
      </w:r>
      <w:bookmarkEnd w:id="29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发包人应委托监理人按第11.1款的约定向承包人发出开工通知。</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93" w:name="_Toc152045627"/>
      <w:bookmarkEnd w:id="293"/>
      <w:bookmarkStart w:id="294" w:name="_Toc282787427"/>
      <w:bookmarkEnd w:id="294"/>
      <w:bookmarkStart w:id="295" w:name="_Toc237923806"/>
      <w:bookmarkEnd w:id="295"/>
      <w:bookmarkStart w:id="296" w:name="_Toc144974595"/>
      <w:bookmarkEnd w:id="296"/>
      <w:bookmarkStart w:id="297" w:name="_Toc179632645"/>
      <w:bookmarkEnd w:id="297"/>
      <w:bookmarkStart w:id="298" w:name="_Toc287853330"/>
      <w:bookmarkEnd w:id="298"/>
      <w:bookmarkStart w:id="299" w:name="_Toc282778981"/>
      <w:bookmarkEnd w:id="299"/>
      <w:bookmarkStart w:id="300" w:name="_Toc282779490"/>
      <w:bookmarkEnd w:id="300"/>
      <w:bookmarkStart w:id="301" w:name="_Toc152042405"/>
      <w:bookmarkEnd w:id="301"/>
      <w:bookmarkStart w:id="302" w:name="_Toc288491506"/>
      <w:bookmarkEnd w:id="302"/>
      <w:bookmarkStart w:id="303" w:name="_Toc283794178"/>
      <w:r>
        <w:rPr>
          <w:rFonts w:hint="eastAsia" w:ascii="宋体" w:hAnsi="宋体" w:eastAsia="宋体" w:cs="宋体"/>
          <w:color w:val="000000"/>
          <w:kern w:val="2"/>
          <w:sz w:val="21"/>
          <w:szCs w:val="21"/>
          <w:lang w:val="en-US" w:eastAsia="zh-CN" w:bidi="ar"/>
        </w:rPr>
        <w:t>2.3  提供施工场地</w:t>
      </w:r>
      <w:bookmarkEnd w:id="30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发包人应按专用合同条款约定向承包人提供施工场地，以及施工场地内地下管线和地下设施等有关资料，并保证资料的真实、准确、完整。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发包人应协调承包人办理临时用地的租用。</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04" w:name="_Toc282779491"/>
      <w:bookmarkEnd w:id="304"/>
      <w:bookmarkStart w:id="305" w:name="_Toc282778982"/>
      <w:bookmarkEnd w:id="305"/>
      <w:bookmarkStart w:id="306" w:name="_Toc152042406"/>
      <w:bookmarkEnd w:id="306"/>
      <w:bookmarkStart w:id="307" w:name="_Toc283794179"/>
      <w:bookmarkEnd w:id="307"/>
      <w:bookmarkStart w:id="308" w:name="_Toc282787428"/>
      <w:bookmarkEnd w:id="308"/>
      <w:bookmarkStart w:id="309" w:name="_Toc237923807"/>
      <w:bookmarkEnd w:id="309"/>
      <w:bookmarkStart w:id="310" w:name="_Toc288491507"/>
      <w:bookmarkEnd w:id="310"/>
      <w:bookmarkStart w:id="311" w:name="_Toc179632646"/>
      <w:bookmarkEnd w:id="311"/>
      <w:bookmarkStart w:id="312" w:name="_Toc287853331"/>
      <w:bookmarkEnd w:id="312"/>
      <w:bookmarkStart w:id="313" w:name="_Toc144974596"/>
      <w:bookmarkEnd w:id="313"/>
      <w:bookmarkStart w:id="314" w:name="_Toc152045628"/>
      <w:r>
        <w:rPr>
          <w:rFonts w:hint="eastAsia" w:ascii="宋体" w:hAnsi="宋体" w:eastAsia="宋体" w:cs="宋体"/>
          <w:color w:val="000000"/>
          <w:kern w:val="2"/>
          <w:sz w:val="21"/>
          <w:szCs w:val="21"/>
          <w:lang w:val="en-US" w:eastAsia="zh-CN" w:bidi="ar"/>
        </w:rPr>
        <w:t>2.4  协助承包人办理证件和批件</w:t>
      </w:r>
      <w:bookmarkEnd w:id="31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发包人应协助承包人办理法律规定的有关施工证件和批件。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15" w:name="_Toc282779492"/>
      <w:bookmarkEnd w:id="315"/>
      <w:bookmarkStart w:id="316" w:name="_Toc144974597"/>
      <w:bookmarkEnd w:id="316"/>
      <w:bookmarkStart w:id="317" w:name="_Toc179632647"/>
      <w:bookmarkEnd w:id="317"/>
      <w:bookmarkStart w:id="318" w:name="_Toc282778983"/>
      <w:bookmarkEnd w:id="318"/>
      <w:bookmarkStart w:id="319" w:name="_Toc288491508"/>
      <w:bookmarkEnd w:id="319"/>
      <w:bookmarkStart w:id="320" w:name="_Toc283794180"/>
      <w:bookmarkEnd w:id="320"/>
      <w:bookmarkStart w:id="321" w:name="_Toc287853332"/>
      <w:bookmarkEnd w:id="321"/>
      <w:bookmarkStart w:id="322" w:name="_Toc282787429"/>
      <w:bookmarkEnd w:id="322"/>
      <w:bookmarkStart w:id="323" w:name="_Toc237923808"/>
      <w:bookmarkEnd w:id="323"/>
      <w:bookmarkStart w:id="324" w:name="_Toc152042407"/>
      <w:bookmarkEnd w:id="324"/>
      <w:bookmarkStart w:id="325" w:name="_Toc152045629"/>
      <w:r>
        <w:rPr>
          <w:rFonts w:hint="eastAsia" w:ascii="宋体" w:hAnsi="宋体" w:eastAsia="宋体" w:cs="宋体"/>
          <w:color w:val="000000"/>
          <w:kern w:val="2"/>
          <w:sz w:val="21"/>
          <w:szCs w:val="21"/>
          <w:lang w:val="en-US" w:eastAsia="zh-CN" w:bidi="ar"/>
        </w:rPr>
        <w:t>2.5  组织设计交底</w:t>
      </w:r>
      <w:bookmarkEnd w:id="32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发包人应根据合同进度计划，组织设计单位向承包人进行设计交底。</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26" w:name="_Toc237923809"/>
      <w:bookmarkEnd w:id="326"/>
      <w:bookmarkStart w:id="327" w:name="_Toc282787430"/>
      <w:bookmarkEnd w:id="327"/>
      <w:bookmarkStart w:id="328" w:name="_Toc282779493"/>
      <w:bookmarkEnd w:id="328"/>
      <w:bookmarkStart w:id="329" w:name="_Toc288491509"/>
      <w:bookmarkEnd w:id="329"/>
      <w:bookmarkStart w:id="330" w:name="_Toc152042408"/>
      <w:bookmarkEnd w:id="330"/>
      <w:bookmarkStart w:id="331" w:name="_Toc179632648"/>
      <w:bookmarkEnd w:id="331"/>
      <w:bookmarkStart w:id="332" w:name="_Toc144974598"/>
      <w:bookmarkEnd w:id="332"/>
      <w:bookmarkStart w:id="333" w:name="_Toc287853333"/>
      <w:bookmarkEnd w:id="333"/>
      <w:bookmarkStart w:id="334" w:name="_Toc282778984"/>
      <w:bookmarkEnd w:id="334"/>
      <w:bookmarkStart w:id="335" w:name="_Toc152045630"/>
      <w:bookmarkEnd w:id="335"/>
      <w:bookmarkStart w:id="336" w:name="_Toc283794181"/>
      <w:r>
        <w:rPr>
          <w:rFonts w:hint="eastAsia" w:ascii="宋体" w:hAnsi="宋体" w:eastAsia="宋体" w:cs="宋体"/>
          <w:color w:val="000000"/>
          <w:kern w:val="2"/>
          <w:sz w:val="21"/>
          <w:szCs w:val="21"/>
          <w:lang w:val="en-US" w:eastAsia="zh-CN" w:bidi="ar"/>
        </w:rPr>
        <w:t>2.6  支付合同价款</w:t>
      </w:r>
      <w:bookmarkEnd w:id="33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发包人应按合同约定向承包人及时支付合同价款。</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37" w:name="_Toc237923810"/>
      <w:bookmarkEnd w:id="337"/>
      <w:bookmarkStart w:id="338" w:name="_Toc287853334"/>
      <w:bookmarkEnd w:id="338"/>
      <w:bookmarkStart w:id="339" w:name="_Toc152045631"/>
      <w:bookmarkEnd w:id="339"/>
      <w:bookmarkStart w:id="340" w:name="_Toc152042409"/>
      <w:bookmarkEnd w:id="340"/>
      <w:bookmarkStart w:id="341" w:name="_Toc179632649"/>
      <w:bookmarkEnd w:id="341"/>
      <w:bookmarkStart w:id="342" w:name="_Toc282787431"/>
      <w:bookmarkEnd w:id="342"/>
      <w:bookmarkStart w:id="343" w:name="_Toc288491510"/>
      <w:bookmarkEnd w:id="343"/>
      <w:bookmarkStart w:id="344" w:name="_Toc283794182"/>
      <w:bookmarkEnd w:id="344"/>
      <w:bookmarkStart w:id="345" w:name="_Toc144974599"/>
      <w:bookmarkEnd w:id="345"/>
      <w:bookmarkStart w:id="346" w:name="_Toc282778985"/>
      <w:bookmarkEnd w:id="346"/>
      <w:bookmarkStart w:id="347" w:name="_Toc282779494"/>
      <w:r>
        <w:rPr>
          <w:rFonts w:hint="eastAsia" w:ascii="宋体" w:hAnsi="宋体" w:eastAsia="宋体" w:cs="宋体"/>
          <w:color w:val="000000"/>
          <w:kern w:val="2"/>
          <w:sz w:val="21"/>
          <w:szCs w:val="21"/>
          <w:lang w:val="en-US" w:eastAsia="zh-CN" w:bidi="ar"/>
        </w:rPr>
        <w:t>2.7  组织竣工验收</w:t>
      </w:r>
      <w:bookmarkEnd w:id="34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发包人应按合同约定及时组织竣工验收。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48" w:name="_Toc283794183"/>
      <w:bookmarkEnd w:id="348"/>
      <w:bookmarkStart w:id="349" w:name="_Toc179632650"/>
      <w:bookmarkEnd w:id="349"/>
      <w:bookmarkStart w:id="350" w:name="_Toc144974600"/>
      <w:bookmarkEnd w:id="350"/>
      <w:bookmarkStart w:id="351" w:name="_Toc282779495"/>
      <w:bookmarkEnd w:id="351"/>
      <w:bookmarkStart w:id="352" w:name="_Toc282787432"/>
      <w:bookmarkEnd w:id="352"/>
      <w:bookmarkStart w:id="353" w:name="_Toc287853335"/>
      <w:bookmarkEnd w:id="353"/>
      <w:bookmarkStart w:id="354" w:name="_Toc282778986"/>
      <w:bookmarkEnd w:id="354"/>
      <w:bookmarkStart w:id="355" w:name="_Toc152042410"/>
      <w:bookmarkEnd w:id="355"/>
      <w:bookmarkStart w:id="356" w:name="_Toc237923811"/>
      <w:bookmarkEnd w:id="356"/>
      <w:bookmarkStart w:id="357" w:name="_Toc152045632"/>
      <w:bookmarkEnd w:id="357"/>
      <w:bookmarkStart w:id="358" w:name="_Toc288491511"/>
      <w:r>
        <w:rPr>
          <w:rFonts w:hint="eastAsia" w:ascii="宋体" w:hAnsi="宋体" w:eastAsia="宋体" w:cs="宋体"/>
          <w:color w:val="000000"/>
          <w:kern w:val="2"/>
          <w:sz w:val="21"/>
          <w:szCs w:val="21"/>
          <w:lang w:val="en-US" w:eastAsia="zh-CN" w:bidi="ar"/>
        </w:rPr>
        <w:t>2.8  其他义务</w:t>
      </w:r>
      <w:bookmarkEnd w:id="35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发包人应履行合同约定的其他义务。</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359" w:name="_Toc152045633"/>
      <w:bookmarkEnd w:id="359"/>
      <w:bookmarkStart w:id="360" w:name="_Toc118378074"/>
      <w:bookmarkEnd w:id="360"/>
      <w:bookmarkStart w:id="361" w:name="_Toc26947"/>
      <w:bookmarkEnd w:id="361"/>
      <w:bookmarkStart w:id="362" w:name="_Toc20403"/>
      <w:bookmarkEnd w:id="362"/>
      <w:bookmarkStart w:id="363" w:name="_Toc282778987"/>
      <w:bookmarkEnd w:id="363"/>
      <w:bookmarkStart w:id="364" w:name="_Toc12866"/>
      <w:bookmarkEnd w:id="364"/>
      <w:bookmarkStart w:id="365" w:name="_Toc282779496"/>
      <w:bookmarkEnd w:id="365"/>
      <w:bookmarkStart w:id="366" w:name="_Toc4635"/>
      <w:bookmarkEnd w:id="366"/>
      <w:bookmarkStart w:id="367" w:name="_Toc282787433"/>
      <w:bookmarkEnd w:id="367"/>
      <w:bookmarkStart w:id="368" w:name="_Toc288491512"/>
      <w:bookmarkEnd w:id="368"/>
      <w:bookmarkStart w:id="369" w:name="_Toc514936603"/>
      <w:bookmarkEnd w:id="369"/>
      <w:bookmarkStart w:id="370" w:name="_Toc19235"/>
      <w:bookmarkEnd w:id="370"/>
      <w:bookmarkStart w:id="371" w:name="_Toc25059"/>
      <w:bookmarkEnd w:id="371"/>
      <w:bookmarkStart w:id="372" w:name="_Toc283794184"/>
      <w:bookmarkEnd w:id="372"/>
      <w:bookmarkStart w:id="373" w:name="_Toc179632651"/>
      <w:bookmarkEnd w:id="373"/>
      <w:bookmarkStart w:id="374" w:name="_Toc3024"/>
      <w:bookmarkEnd w:id="374"/>
      <w:bookmarkStart w:id="375" w:name="_Toc144974601"/>
      <w:bookmarkEnd w:id="375"/>
      <w:bookmarkStart w:id="376" w:name="_Toc20185"/>
      <w:bookmarkEnd w:id="376"/>
      <w:bookmarkStart w:id="377" w:name="_Toc152042411"/>
      <w:bookmarkEnd w:id="377"/>
      <w:bookmarkStart w:id="378" w:name="_Toc20306"/>
      <w:bookmarkEnd w:id="378"/>
      <w:bookmarkStart w:id="379" w:name="_Toc30188"/>
      <w:bookmarkEnd w:id="379"/>
      <w:bookmarkStart w:id="380" w:name="_Toc237923812"/>
      <w:bookmarkEnd w:id="380"/>
      <w:bookmarkStart w:id="381" w:name="_Toc25987"/>
      <w:bookmarkEnd w:id="381"/>
      <w:bookmarkStart w:id="382" w:name="_Toc287853336"/>
      <w:bookmarkEnd w:id="382"/>
      <w:bookmarkStart w:id="383" w:name="_Toc14108"/>
      <w:bookmarkEnd w:id="383"/>
      <w:bookmarkStart w:id="384" w:name="_Toc20929"/>
      <w:r>
        <w:rPr>
          <w:rFonts w:hint="eastAsia" w:ascii="宋体" w:hAnsi="宋体" w:eastAsia="宋体" w:cs="宋体"/>
          <w:color w:val="000000"/>
          <w:kern w:val="2"/>
          <w:sz w:val="21"/>
          <w:szCs w:val="21"/>
          <w:lang w:val="en-US" w:eastAsia="zh-CN" w:bidi="ar"/>
        </w:rPr>
        <w:t>3．监理人</w:t>
      </w:r>
      <w:bookmarkEnd w:id="38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85" w:name="_Toc287853337"/>
      <w:bookmarkEnd w:id="385"/>
      <w:bookmarkStart w:id="386" w:name="_Toc152045634"/>
      <w:bookmarkEnd w:id="386"/>
      <w:bookmarkStart w:id="387" w:name="_Toc144974602"/>
      <w:bookmarkEnd w:id="387"/>
      <w:bookmarkStart w:id="388" w:name="_Toc152042412"/>
      <w:bookmarkEnd w:id="388"/>
      <w:bookmarkStart w:id="389" w:name="_Toc282779497"/>
      <w:bookmarkEnd w:id="389"/>
      <w:bookmarkStart w:id="390" w:name="_Toc237923813"/>
      <w:bookmarkEnd w:id="390"/>
      <w:bookmarkStart w:id="391" w:name="_Toc283794185"/>
      <w:bookmarkEnd w:id="391"/>
      <w:bookmarkStart w:id="392" w:name="_Toc179632652"/>
      <w:bookmarkEnd w:id="392"/>
      <w:bookmarkStart w:id="393" w:name="_Toc282778988"/>
      <w:bookmarkEnd w:id="393"/>
      <w:bookmarkStart w:id="394" w:name="_Toc288491513"/>
      <w:bookmarkEnd w:id="394"/>
      <w:bookmarkStart w:id="395" w:name="_Toc282787434"/>
      <w:r>
        <w:rPr>
          <w:rFonts w:hint="eastAsia" w:ascii="宋体" w:hAnsi="宋体" w:eastAsia="宋体" w:cs="宋体"/>
          <w:color w:val="000000"/>
          <w:kern w:val="2"/>
          <w:sz w:val="21"/>
          <w:szCs w:val="21"/>
          <w:lang w:val="en-US" w:eastAsia="zh-CN" w:bidi="ar"/>
        </w:rPr>
        <w:t>3.1  监理人的职责和权力</w:t>
      </w:r>
      <w:bookmarkEnd w:id="39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3.1.1  监理人受发包人委托，享有合同约定的权力。监理人在行使某项权力前需要经发包人事先批准而通用合同条款没有指明的，应在专用合同条款中指明。</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监理人在行使下列权力前需要经发包人事先批准：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（1）根据第4.3款，同意分包本工程的某非主体部和非关键性工作；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（2）确定第4.11款下产生的费用增加额；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（3）根据第11.1款、第12.3款、第12.4款发布开工通知、暂停施工指示或复工通知；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（4）决定第11.3款、第11.4款下的工期延期；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（5）根据第15.3款发出的变更指令，其单项工程变更涉及的金额超过了该单项工程原合同价的5%或累计变更超过了原总合同价的3%；如在《监理服务合同》中另有规定者，从其规定，并就此通知承包人；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（6）根据第15.4款下变更工作的单价；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（7）按照第15.6款决定有关暂列金额的使用；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（8）确定第23.1款项下的索赔额；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3.1.2  监理人发出的任何指示应视为已得到发包人的批准，但监理人无权免除或变更合同约定的发包人和承包人的权利、义务和责任。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3.1.3  合同约定应由承包人承担的义务和责任，不因监理人对承包人提交文件的审查或批准，对工程、材料和设备的检查和检验，以及为实施监理作出的指示等职务行为而减轻或解除。</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396" w:name="_Toc283794186"/>
      <w:bookmarkEnd w:id="396"/>
      <w:bookmarkStart w:id="397" w:name="_Toc152042413"/>
      <w:bookmarkEnd w:id="397"/>
      <w:bookmarkStart w:id="398" w:name="_Toc282778989"/>
      <w:bookmarkEnd w:id="398"/>
      <w:bookmarkStart w:id="399" w:name="_Toc179632653"/>
      <w:bookmarkEnd w:id="399"/>
      <w:bookmarkStart w:id="400" w:name="_Toc282779498"/>
      <w:bookmarkEnd w:id="400"/>
      <w:bookmarkStart w:id="401" w:name="_Toc282787435"/>
      <w:bookmarkEnd w:id="401"/>
      <w:bookmarkStart w:id="402" w:name="_Toc288491514"/>
      <w:bookmarkEnd w:id="402"/>
      <w:bookmarkStart w:id="403" w:name="_Toc287853338"/>
      <w:bookmarkEnd w:id="403"/>
      <w:bookmarkStart w:id="404" w:name="_Toc144974603"/>
      <w:bookmarkEnd w:id="404"/>
      <w:bookmarkStart w:id="405" w:name="_Toc237923814"/>
      <w:bookmarkEnd w:id="405"/>
      <w:bookmarkStart w:id="406" w:name="_Toc152045635"/>
      <w:r>
        <w:rPr>
          <w:rFonts w:hint="eastAsia" w:ascii="宋体" w:hAnsi="宋体" w:eastAsia="宋体" w:cs="宋体"/>
          <w:color w:val="000000"/>
          <w:kern w:val="2"/>
          <w:sz w:val="21"/>
          <w:szCs w:val="21"/>
          <w:lang w:val="en-US" w:eastAsia="zh-CN" w:bidi="ar"/>
        </w:rPr>
        <w:t>3.2  总监理工程师</w:t>
      </w:r>
      <w:bookmarkEnd w:id="40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发包人应在发出开工通知前将总监理工程师的任命通知承包人。总监理工程师更换时，应在调离14天前通知承包人。总监理工程师短期离开施工场地的，应委派代表代行其职责，并通知承包人。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07" w:name="_Toc152042414"/>
      <w:bookmarkEnd w:id="407"/>
      <w:bookmarkStart w:id="408" w:name="_Toc287853339"/>
      <w:bookmarkEnd w:id="408"/>
      <w:bookmarkStart w:id="409" w:name="_Toc152045636"/>
      <w:bookmarkEnd w:id="409"/>
      <w:bookmarkStart w:id="410" w:name="_Toc144974604"/>
      <w:bookmarkEnd w:id="410"/>
      <w:bookmarkStart w:id="411" w:name="_Toc282787436"/>
      <w:bookmarkEnd w:id="411"/>
      <w:bookmarkStart w:id="412" w:name="_Toc283794187"/>
      <w:bookmarkEnd w:id="412"/>
      <w:bookmarkStart w:id="413" w:name="_Toc237923815"/>
      <w:bookmarkEnd w:id="413"/>
      <w:bookmarkStart w:id="414" w:name="_Toc282778990"/>
      <w:bookmarkEnd w:id="414"/>
      <w:bookmarkStart w:id="415" w:name="_Toc282779499"/>
      <w:bookmarkEnd w:id="415"/>
      <w:bookmarkStart w:id="416" w:name="_Toc179632654"/>
      <w:bookmarkEnd w:id="416"/>
      <w:bookmarkStart w:id="417" w:name="_Toc288491515"/>
      <w:r>
        <w:rPr>
          <w:rFonts w:hint="eastAsia" w:ascii="宋体" w:hAnsi="宋体" w:eastAsia="宋体" w:cs="宋体"/>
          <w:color w:val="000000"/>
          <w:kern w:val="2"/>
          <w:sz w:val="21"/>
          <w:szCs w:val="21"/>
          <w:lang w:val="en-US" w:eastAsia="zh-CN" w:bidi="ar"/>
        </w:rPr>
        <w:t>3.3  监理人员</w:t>
      </w:r>
      <w:bookmarkEnd w:id="41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3.3.2  监理人员对承包人的任何工作、工程或其采用的材料和工程设备未在约定的或合理的期限内提出否定意见的，视为已获批准，但不影响监理人在以后拒绝该项工作、工程、材料或工程设备的权利。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3.3.3  承包人对总监理工程师授权的监理人员发出的指示有疑问的，可向总监理工程师提出书面异议，总监理工程师应在48小时内对该指示予以确认、更改或撤销。</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3.3.4  除专用合同条款另有约定外，总监理工程师不应将第3.5款约定应由总监理工程师作出确定的权力授权或委托给其他监理人员。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18" w:name="_Toc152042415"/>
      <w:bookmarkEnd w:id="418"/>
      <w:bookmarkStart w:id="419" w:name="_Toc287853340"/>
      <w:bookmarkEnd w:id="419"/>
      <w:bookmarkStart w:id="420" w:name="_Toc282779500"/>
      <w:bookmarkEnd w:id="420"/>
      <w:bookmarkStart w:id="421" w:name="_Toc282787437"/>
      <w:bookmarkEnd w:id="421"/>
      <w:bookmarkStart w:id="422" w:name="_Toc152045637"/>
      <w:bookmarkEnd w:id="422"/>
      <w:bookmarkStart w:id="423" w:name="_Toc288491516"/>
      <w:bookmarkEnd w:id="423"/>
      <w:bookmarkStart w:id="424" w:name="_Toc237923816"/>
      <w:bookmarkEnd w:id="424"/>
      <w:bookmarkStart w:id="425" w:name="_Toc179632655"/>
      <w:bookmarkEnd w:id="425"/>
      <w:bookmarkStart w:id="426" w:name="_Toc144974605"/>
      <w:bookmarkEnd w:id="426"/>
      <w:bookmarkStart w:id="427" w:name="_Toc283794188"/>
      <w:bookmarkEnd w:id="427"/>
      <w:bookmarkStart w:id="428" w:name="_Toc282778991"/>
      <w:r>
        <w:rPr>
          <w:rFonts w:hint="eastAsia" w:ascii="宋体" w:hAnsi="宋体" w:eastAsia="宋体" w:cs="宋体"/>
          <w:color w:val="000000"/>
          <w:kern w:val="2"/>
          <w:sz w:val="21"/>
          <w:szCs w:val="21"/>
          <w:lang w:val="en-US" w:eastAsia="zh-CN" w:bidi="ar"/>
        </w:rPr>
        <w:t>3.4  监理人的指示</w:t>
      </w:r>
      <w:bookmarkEnd w:id="42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3.4.1  监理人应按第3.1款的约定向承包人发出指示，监理人的指示应盖有监理人授权的施工场地机构章，并由总监理工程师或总监理工程师按第3.3.1项约定授权的监理人员签字。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3.4.2  承包人收到监理人按第3.4.1项作出的指示后应遵照执行。指示构成变更的，应按第15条处理。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3.4.4  除合同另有约定外，承包人只从总监理工程师或按第3.3.1项被授权的监理人员处取得指示。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3.4.5  由于监理人未能按合同约定发出指示、指示延误或指示错误而导致承包人费用增加和（或）工期延误的，由发包人承担赔偿责任。 </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29" w:name="_Toc144974606"/>
      <w:bookmarkEnd w:id="429"/>
      <w:bookmarkStart w:id="430" w:name="_Toc287853341"/>
      <w:bookmarkEnd w:id="430"/>
      <w:bookmarkStart w:id="431" w:name="_Toc237923817"/>
      <w:bookmarkEnd w:id="431"/>
      <w:bookmarkStart w:id="432" w:name="_Toc152042416"/>
      <w:bookmarkEnd w:id="432"/>
      <w:bookmarkStart w:id="433" w:name="_Toc282779501"/>
      <w:bookmarkEnd w:id="433"/>
      <w:bookmarkStart w:id="434" w:name="_Toc282778992"/>
      <w:bookmarkEnd w:id="434"/>
      <w:bookmarkStart w:id="435" w:name="_Toc152045638"/>
      <w:bookmarkEnd w:id="435"/>
      <w:bookmarkStart w:id="436" w:name="_Toc179632656"/>
      <w:bookmarkEnd w:id="436"/>
      <w:bookmarkStart w:id="437" w:name="_Toc282787438"/>
      <w:bookmarkEnd w:id="437"/>
      <w:bookmarkStart w:id="438" w:name="_Toc288491517"/>
      <w:bookmarkEnd w:id="438"/>
      <w:bookmarkStart w:id="439" w:name="_Toc283794189"/>
      <w:r>
        <w:rPr>
          <w:rFonts w:hint="eastAsia" w:ascii="宋体" w:hAnsi="宋体" w:eastAsia="宋体" w:cs="宋体"/>
          <w:color w:val="000000"/>
          <w:kern w:val="2"/>
          <w:sz w:val="21"/>
          <w:szCs w:val="21"/>
          <w:lang w:val="en-US" w:eastAsia="zh-CN" w:bidi="ar"/>
        </w:rPr>
        <w:t>3.5  商定或确定</w:t>
      </w:r>
      <w:bookmarkEnd w:id="43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3.5.1  合同约定总监理工程师应按照本款对任何事项进行商定或确定时，总监理工程师应与合同当事人协商，尽量达成一致。不能达成一致的，总监理工程师应认真研究后审慎确定。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如果这项商定或确定导致费用增加和（或）工期延长，或者涉及确定变更工程的价格，则总监理工程师在发出通知前，应征得发包人的同意。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440" w:name="_Toc13717"/>
      <w:bookmarkEnd w:id="440"/>
      <w:bookmarkStart w:id="441" w:name="_Toc287853342"/>
      <w:bookmarkEnd w:id="441"/>
      <w:bookmarkStart w:id="442" w:name="_Toc152045639"/>
      <w:bookmarkEnd w:id="442"/>
      <w:bookmarkStart w:id="443" w:name="_Toc25304"/>
      <w:bookmarkEnd w:id="443"/>
      <w:bookmarkStart w:id="444" w:name="_Toc17489"/>
      <w:bookmarkEnd w:id="444"/>
      <w:bookmarkStart w:id="445" w:name="_Toc179632657"/>
      <w:bookmarkEnd w:id="445"/>
      <w:bookmarkStart w:id="446" w:name="_Toc31196"/>
      <w:bookmarkEnd w:id="446"/>
      <w:bookmarkStart w:id="447" w:name="_Toc283794190"/>
      <w:bookmarkEnd w:id="447"/>
      <w:bookmarkStart w:id="448" w:name="_Toc288491518"/>
      <w:bookmarkEnd w:id="448"/>
      <w:bookmarkStart w:id="449" w:name="_Toc7224"/>
      <w:bookmarkEnd w:id="449"/>
      <w:bookmarkStart w:id="450" w:name="_Toc24466"/>
      <w:bookmarkEnd w:id="450"/>
      <w:bookmarkStart w:id="451" w:name="_Toc19238"/>
      <w:bookmarkEnd w:id="451"/>
      <w:bookmarkStart w:id="452" w:name="_Toc152042417"/>
      <w:bookmarkEnd w:id="452"/>
      <w:bookmarkStart w:id="453" w:name="_Toc118378075"/>
      <w:bookmarkEnd w:id="453"/>
      <w:bookmarkStart w:id="454" w:name="_Toc1958"/>
      <w:bookmarkEnd w:id="454"/>
      <w:bookmarkStart w:id="455" w:name="_Toc24867"/>
      <w:bookmarkEnd w:id="455"/>
      <w:bookmarkStart w:id="456" w:name="_Toc32141"/>
      <w:bookmarkEnd w:id="456"/>
      <w:bookmarkStart w:id="457" w:name="_Toc19807"/>
      <w:bookmarkEnd w:id="457"/>
      <w:bookmarkStart w:id="458" w:name="_Toc237923818"/>
      <w:bookmarkEnd w:id="458"/>
      <w:bookmarkStart w:id="459" w:name="_Toc282779502"/>
      <w:bookmarkEnd w:id="459"/>
      <w:bookmarkStart w:id="460" w:name="_Toc282787439"/>
      <w:bookmarkEnd w:id="460"/>
      <w:bookmarkStart w:id="461" w:name="_Toc144974607"/>
      <w:bookmarkEnd w:id="461"/>
      <w:bookmarkStart w:id="462" w:name="_Toc282778993"/>
      <w:bookmarkEnd w:id="462"/>
      <w:bookmarkStart w:id="463" w:name="_Toc13020"/>
      <w:bookmarkEnd w:id="463"/>
      <w:bookmarkStart w:id="464" w:name="_Toc514936604"/>
      <w:bookmarkEnd w:id="464"/>
      <w:bookmarkStart w:id="465" w:name="_Toc23023"/>
      <w:r>
        <w:rPr>
          <w:rFonts w:hint="eastAsia" w:ascii="宋体" w:hAnsi="宋体" w:eastAsia="宋体" w:cs="宋体"/>
          <w:color w:val="000000"/>
          <w:kern w:val="2"/>
          <w:sz w:val="21"/>
          <w:szCs w:val="21"/>
          <w:lang w:val="en-US" w:eastAsia="zh-CN" w:bidi="ar"/>
        </w:rPr>
        <w:t>4．承包人</w:t>
      </w:r>
      <w:bookmarkEnd w:id="465"/>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66" w:name="_Toc282778994"/>
      <w:bookmarkEnd w:id="466"/>
      <w:bookmarkStart w:id="467" w:name="_Toc152042418"/>
      <w:bookmarkEnd w:id="467"/>
      <w:bookmarkStart w:id="468" w:name="_Toc287853343"/>
      <w:bookmarkEnd w:id="468"/>
      <w:bookmarkStart w:id="469" w:name="_Toc179632658"/>
      <w:bookmarkEnd w:id="469"/>
      <w:bookmarkStart w:id="470" w:name="_Toc288491519"/>
      <w:bookmarkEnd w:id="470"/>
      <w:bookmarkStart w:id="471" w:name="_Toc282779503"/>
      <w:bookmarkEnd w:id="471"/>
      <w:bookmarkStart w:id="472" w:name="_Toc282787440"/>
      <w:bookmarkEnd w:id="472"/>
      <w:bookmarkStart w:id="473" w:name="_Toc144974608"/>
      <w:bookmarkEnd w:id="473"/>
      <w:bookmarkStart w:id="474" w:name="_Toc283794191"/>
      <w:bookmarkEnd w:id="474"/>
      <w:bookmarkStart w:id="475" w:name="_Toc237923819"/>
      <w:bookmarkEnd w:id="475"/>
      <w:bookmarkStart w:id="476" w:name="_Toc152045640"/>
      <w:r>
        <w:rPr>
          <w:rFonts w:hint="eastAsia" w:ascii="宋体" w:hAnsi="宋体" w:eastAsia="宋体" w:cs="宋体"/>
          <w:color w:val="000000"/>
          <w:kern w:val="2"/>
          <w:sz w:val="21"/>
          <w:szCs w:val="21"/>
          <w:lang w:val="en-US" w:eastAsia="zh-CN" w:bidi="ar"/>
        </w:rPr>
        <w:t>4.1  承包人的一般义务</w:t>
      </w:r>
      <w:bookmarkEnd w:id="47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  遵守法律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承包人在履行合同过程中应遵守法律，并保证发包人免于承担因承包人违反法律而引起的任何责任。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4.1.2  依法纳税</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承包人应按有关法律规定纳税，应缴纳的税金包括在合同价格内。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4.1.3  完成各项承包工作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负责做好合同规定的大中修养护工程作业方案，精心组织养护，加强养护质量控制，完成本合同公路大中修工程。为此，承包人应提供所需的全部监督管理、劳务、材料、设备、养护装备和其他物品。承包人应加强养护工程的质量控制，合同期内的公路养护质量指数MQI及其分项指标PQI、SCI、BCI、TCI等及次差路率指标RoP应符合技术规范第106节的规定要求，达到该要求是工程款支付的前提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4.1.4  对施工作业和施工方法的完备性负责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承包人应按合同约定的工作内容和施工进度要求，编制养护工程作业方案和施工措施计划，并对所有施工作业和施工方法的完备性和安全可靠性负责。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4.1.5  保证养护工程施工和人员的安全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承包人应按第9.2款约定采取施工安全措施，确保工程及其人员、材料、设备和设施的安全，防止因工程施工造成的人身伤害和财产损失。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在实施和完成养护工程的整个过程中，承包人应该充分关注和保障所有在现场工作的人员安全，采取有效措施，使养护作业现场和本合同养护工程的实施保持有条不紊，以免人员的安全受到威胁：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（1）按施工人员的2～4%配备专职安全员并有一名安全生产负责人，且不少于1人，同时每个施工作业点必须有安全员；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应当在施工现场建立消防安全责任制度，对于易燃易爆的材料除应专门妥善保管之外，还应确定消防安全责任人，制定用火、用电、使用易燃易爆材料等各项消防管理制度和操作规程，设置消防通道，配备相应的消防设施和灭火器材，所有施工人员都应熟悉消防设备的性能和使用方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（4）所有施工机具设备和高空作业的设备均应定期检查，并有安全生产负责人的签字记录；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（5）根据大中修养护工程的性质和施工特点，严格执行《公路工程施工安全技术规程》（JTJ 076-95）和《公路养护作业安全规程》（JTG H30-2004）的具体规定；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4.1.6  负责施工场地及其周边环境与生态的保护工作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承包人应按照第9.4款约定负责施工场地及其周边环境与生态的保护工作。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4.1.7  避免施工对公众与他人的利益造成损害</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承包人在养护过程中必须采取一切措施，确保车辆正常运行，做到养护作业、车辆通行两不误。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实施养护作业路段应配备交通标志等设施，指定专人维持车辆通行秩序。如因承包人措施不力，导致阻车或事故频发而造成较大影响，引起索赔、赔偿或养护费用增加时，应由承包人承担一切责任和费用。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4.1.8  为他人提供方便</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承包人应按监理人的指示为他人在施工场地或附近实施与工程有关的其他各项工作提供可能的条件。除合同另有约定外，提供有关条件的内容和可能发生的费用，由监理人按第3.5款商定或确定。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为保护实施的养护工程免遭损坏，或为了现场附近和过往群众的方便与安全，在确有必要的时候和地方，或当监理人或有关主管部门要求时，应自费提供照明、警卫、护栏、警告标志等安全防护设施；</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4.1.9  工程的维护和照管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工程接收证书颁发前，承包人应负责照管和维护工程。工程接收证书颁发时尚有部分未竣工工程的，承包人还应负责该未竣工工程的照管和维护工作，直至竣工后移交给发包人为止。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4.1.10  其他义务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承包人应履行合同约定的其他义务。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（1）除项目专用合同条款另有约定外，承包人应承担并支付为获得本合同工程所需的石料、砂、砾石、黏土或其他当地材料等所发生的料场使用费及其他开支或补偿费。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（2）承包人应严格遵守国家有关解决拖欠工程款和民工工资的法律、法规，及时支付工程中的材料、设备货款及民工工资等费用。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在本养护工程中严格执行浙江省劳动和社会保障厅、浙江省交通厅、中国人民银行杭州中心支行关于《浙江省交通建设领域农民工工资支付管理暂行办法》（浙劳社监[2007]90号），严格按照《劳动法》、《浙江省企业工资支付管理办法》和《最低工资规定》等有关规定支付农民工工资，不得拖欠或克扣，并接受项目所在地交通行政部门对执行情况的监督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他不具备用工主体资格的组织和个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工资支付表应如实记录支付单位、支付时间、支付对象、支付数额、支付对象的身份证号和签字等信息。民工花名册和工资支付表应报监理人备查。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在递交投标文件的同时，应按招标文件第8篇投标书附表5的格式填写一份《临时占地计划表》（临时用地范围包括承包人驻地的办公和生活用地、仓库与料场用地、预制场用地、借土场地及临时堆土场地、工地试验室用地、临时道路用地等）。中标后应在此表范围内按实际需要与先后次序，提出具体计划报监理人同意，并报发包人。租地费用列入工程量清单100章中由承包人报价。临时用地退还前，承包人应自费恢复到临时用地使用前的状况。如因承包人撤离后未按要求对临时用地进行恢复或虽进行了恢复但未达到使用标准的，将由发包人委托第三方进行恢复，所发生的费用将从应付给承包人的任何款项内扣除。超出《临时占地计划表》的临时用地由承包人自行办理并自付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（4）承包人应履行项目专用合同条款约定的其他义务。</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77" w:name="_Toc237923820"/>
      <w:bookmarkEnd w:id="477"/>
      <w:bookmarkStart w:id="478" w:name="_Toc288491520"/>
      <w:bookmarkEnd w:id="478"/>
      <w:bookmarkStart w:id="479" w:name="_Toc283794192"/>
      <w:bookmarkEnd w:id="479"/>
      <w:bookmarkStart w:id="480" w:name="_Toc287853344"/>
      <w:bookmarkEnd w:id="480"/>
      <w:bookmarkStart w:id="481" w:name="_Toc152042419"/>
      <w:bookmarkEnd w:id="481"/>
      <w:bookmarkStart w:id="482" w:name="_Toc152045641"/>
      <w:bookmarkEnd w:id="482"/>
      <w:bookmarkStart w:id="483" w:name="_Toc282787441"/>
      <w:bookmarkEnd w:id="483"/>
      <w:bookmarkStart w:id="484" w:name="_Toc282778995"/>
      <w:bookmarkEnd w:id="484"/>
      <w:bookmarkStart w:id="485" w:name="_Toc282779504"/>
      <w:bookmarkEnd w:id="485"/>
      <w:bookmarkStart w:id="486" w:name="_Toc144974609"/>
      <w:bookmarkEnd w:id="486"/>
      <w:bookmarkStart w:id="487" w:name="_Toc179632659"/>
      <w:r>
        <w:rPr>
          <w:rFonts w:hint="eastAsia" w:ascii="宋体" w:hAnsi="宋体" w:eastAsia="宋体" w:cs="宋体"/>
          <w:color w:val="000000"/>
          <w:kern w:val="2"/>
          <w:sz w:val="21"/>
          <w:szCs w:val="21"/>
          <w:lang w:val="en-US" w:eastAsia="zh-CN" w:bidi="ar"/>
        </w:rPr>
        <w:t>4.2  履约担保</w:t>
      </w:r>
      <w:bookmarkEnd w:id="48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承包人应保证其履约担保在发包人颁发工程接收证书前一直有效。发包人应在工程接收证书颁发后28天内把履约担保退还给承包人。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88" w:name="_Toc282778996"/>
      <w:bookmarkEnd w:id="488"/>
      <w:bookmarkStart w:id="489" w:name="_Toc283794193"/>
      <w:bookmarkEnd w:id="489"/>
      <w:bookmarkStart w:id="490" w:name="_Toc282779505"/>
      <w:bookmarkEnd w:id="490"/>
      <w:bookmarkStart w:id="491" w:name="_Toc152042420"/>
      <w:bookmarkEnd w:id="491"/>
      <w:bookmarkStart w:id="492" w:name="_Toc287853345"/>
      <w:bookmarkEnd w:id="492"/>
      <w:bookmarkStart w:id="493" w:name="_Toc152045642"/>
      <w:bookmarkEnd w:id="493"/>
      <w:bookmarkStart w:id="494" w:name="_Toc282787442"/>
      <w:bookmarkEnd w:id="494"/>
      <w:bookmarkStart w:id="495" w:name="_Toc288491521"/>
      <w:bookmarkEnd w:id="495"/>
      <w:bookmarkStart w:id="496" w:name="_Toc237923821"/>
      <w:bookmarkEnd w:id="496"/>
      <w:bookmarkStart w:id="497" w:name="_Toc144974610"/>
      <w:bookmarkEnd w:id="497"/>
      <w:bookmarkStart w:id="498" w:name="_Toc179632660"/>
      <w:r>
        <w:rPr>
          <w:rFonts w:hint="eastAsia" w:ascii="宋体" w:hAnsi="宋体" w:eastAsia="宋体" w:cs="宋体"/>
          <w:color w:val="000000"/>
          <w:kern w:val="2"/>
          <w:sz w:val="21"/>
          <w:szCs w:val="21"/>
          <w:lang w:val="en-US" w:eastAsia="zh-CN" w:bidi="ar"/>
        </w:rPr>
        <w:t>4.3  分包</w:t>
      </w:r>
      <w:bookmarkEnd w:id="49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4.3.1  承包人不得将其承包的全部工程转包给第三人，或将其承包的全部工程肢解后以分包的名义转包给第三人。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4.3.2  承包人不得将工程主体、关键性工作分包给第三人。除专用合同条款另有约定外，未经发包人同意，承包人不得将工程的其他部分或工作分包给第三人。经发包人同意，承包人可将工程的其他部分或工作分包给第三人。分包包括专业分包和劳务分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4.3.3  在养护工程施工过程在中，承包人进行专业分包必须遵守以下规定：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（1）允许专业分包的工程范围仅限于分部工程或分项工程、适合专业化队伍施工的工程，专业分包的工程量累计不得超过总工程量的30%。</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（2）专业分包人的资格能力（含安全生产能力）应与其分包工程的标准和规模相适应，具备相应的专业承包资质。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（3）专业分包工程不得再次分包。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（4）承包人和专业分包人应当依法签订专业分包合同，并按照合同履行约定的义务。专业分包合同必须明确约定工程款支付条款、结算方式以及保证按期支付的相应措施，确保工程款的支付。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承包人对施工现场安全负总责，并对专业分包人的安全生产进行培训和管理。专业分包人应将其专业分包工程的养护工程作业方案和施工安全方案报承包人备案。专业分包人对分包施工现场安全负责，发现事故隐患，应及时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（6）所有专业分包计划和专业分包合同须报监理人审批，并报发包人核备。监理人审批专业分包并不解除合同规定的承包人的任何责任或义务。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违反上述规定之一者属违规分包。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4.3.4  在养护工程施工过程中，承包人进行劳务分包必须遵守以下规定：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（1）劳务分包人应具有劳务分包资质。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雇用的劳务作业应加入到承包人的施工班组统一管理。有关施工质量、施工安全、施工进度、环境保护、技术方案、试验检测、材料保管与供应、机械设备等都必须由承包人管理与调配，不得以包代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（4）承包人应当对劳务分包人员进行安全培训和管理，劳务分包人不得将其分包的劳务作业再次分包。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违反上述规定之一者属违规分包。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4.3.5  承包人应与分包人就分包工程向发包人承担连带责任。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4.3.6  发包人对承包人与分包人之间的法律与经济纠纷不承担任何责任和义务。</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499" w:name="_Toc144974611"/>
      <w:bookmarkEnd w:id="499"/>
      <w:bookmarkStart w:id="500" w:name="_Toc237923822"/>
      <w:bookmarkEnd w:id="500"/>
      <w:bookmarkStart w:id="501" w:name="_Toc283794194"/>
      <w:bookmarkEnd w:id="501"/>
      <w:bookmarkStart w:id="502" w:name="_Toc282778997"/>
      <w:bookmarkEnd w:id="502"/>
      <w:bookmarkStart w:id="503" w:name="_Toc287853346"/>
      <w:bookmarkEnd w:id="503"/>
      <w:bookmarkStart w:id="504" w:name="_Toc152045643"/>
      <w:bookmarkEnd w:id="504"/>
      <w:bookmarkStart w:id="505" w:name="_Toc282779506"/>
      <w:bookmarkEnd w:id="505"/>
      <w:bookmarkStart w:id="506" w:name="_Toc282787443"/>
      <w:bookmarkEnd w:id="506"/>
      <w:bookmarkStart w:id="507" w:name="_Toc179632661"/>
      <w:bookmarkEnd w:id="507"/>
      <w:bookmarkStart w:id="508" w:name="_Toc288491522"/>
      <w:bookmarkEnd w:id="508"/>
      <w:bookmarkStart w:id="509" w:name="_Toc152042421"/>
      <w:r>
        <w:rPr>
          <w:rFonts w:hint="eastAsia" w:ascii="宋体" w:hAnsi="宋体" w:eastAsia="宋体" w:cs="宋体"/>
          <w:color w:val="000000"/>
          <w:kern w:val="2"/>
          <w:sz w:val="21"/>
          <w:szCs w:val="21"/>
          <w:lang w:val="en-US" w:eastAsia="zh-CN" w:bidi="ar"/>
        </w:rPr>
        <w:t>4.4  联合体</w:t>
      </w:r>
      <w:bookmarkEnd w:id="50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4.4.1  联合体各方应共同与发包人签订合同协议书。联合体各方应为履行合同承担连带责任。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4.4.2  联合体协议经发包人确认后作为合同附件。在履行合同过程中，未经发包人同意，不得修改联合体协议。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4.4.3  联合体牵头人负责与发包人和监理人联系，并接受指示，负责组织联合体各成员全面履行合同。</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10" w:name="_Toc237923823"/>
      <w:bookmarkEnd w:id="510"/>
      <w:bookmarkStart w:id="511" w:name="_Toc282787444"/>
      <w:bookmarkEnd w:id="511"/>
      <w:bookmarkStart w:id="512" w:name="_Toc152042422"/>
      <w:bookmarkEnd w:id="512"/>
      <w:bookmarkStart w:id="513" w:name="_Toc288491523"/>
      <w:bookmarkEnd w:id="513"/>
      <w:bookmarkStart w:id="514" w:name="_Toc144974612"/>
      <w:bookmarkEnd w:id="514"/>
      <w:bookmarkStart w:id="515" w:name="_Toc287853347"/>
      <w:bookmarkEnd w:id="515"/>
      <w:bookmarkStart w:id="516" w:name="_Toc282779507"/>
      <w:bookmarkEnd w:id="516"/>
      <w:bookmarkStart w:id="517" w:name="_Toc152045644"/>
      <w:bookmarkEnd w:id="517"/>
      <w:bookmarkStart w:id="518" w:name="_Toc179632662"/>
      <w:bookmarkEnd w:id="518"/>
      <w:bookmarkStart w:id="519" w:name="_Toc282778998"/>
      <w:bookmarkEnd w:id="519"/>
      <w:bookmarkStart w:id="520" w:name="_Toc283794195"/>
      <w:r>
        <w:rPr>
          <w:rFonts w:hint="eastAsia" w:ascii="宋体" w:hAnsi="宋体" w:eastAsia="宋体" w:cs="宋体"/>
          <w:color w:val="000000"/>
          <w:kern w:val="2"/>
          <w:sz w:val="21"/>
          <w:szCs w:val="21"/>
          <w:lang w:val="en-US" w:eastAsia="zh-CN" w:bidi="ar"/>
        </w:rPr>
        <w:t>4.5  承包人项目经理</w:t>
      </w:r>
      <w:bookmarkEnd w:id="52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4.5.3  承包人为履行合同发出的一切函件均应盖有承包人授权的施工场地管理机构章，并由承包人项目经理或其授权代表签字。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4.5.4  承包人项目经理可以授权其下属人员履行其某项职责，但事先应将这些人员的姓名和授权范围通知监理人。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21" w:name="_Toc282779508"/>
      <w:bookmarkEnd w:id="521"/>
      <w:bookmarkStart w:id="522" w:name="_Toc152042423"/>
      <w:bookmarkEnd w:id="522"/>
      <w:bookmarkStart w:id="523" w:name="_Toc287853348"/>
      <w:bookmarkEnd w:id="523"/>
      <w:bookmarkStart w:id="524" w:name="_Toc282778999"/>
      <w:bookmarkEnd w:id="524"/>
      <w:bookmarkStart w:id="525" w:name="_Toc283794196"/>
      <w:bookmarkEnd w:id="525"/>
      <w:bookmarkStart w:id="526" w:name="_Toc237923824"/>
      <w:bookmarkEnd w:id="526"/>
      <w:bookmarkStart w:id="527" w:name="_Toc152045645"/>
      <w:bookmarkEnd w:id="527"/>
      <w:bookmarkStart w:id="528" w:name="_Toc282787445"/>
      <w:bookmarkEnd w:id="528"/>
      <w:bookmarkStart w:id="529" w:name="_Toc144974613"/>
      <w:bookmarkEnd w:id="529"/>
      <w:bookmarkStart w:id="530" w:name="_Toc179632663"/>
      <w:bookmarkEnd w:id="530"/>
      <w:bookmarkStart w:id="531" w:name="_Toc288491524"/>
      <w:r>
        <w:rPr>
          <w:rFonts w:hint="eastAsia" w:ascii="宋体" w:hAnsi="宋体" w:eastAsia="宋体" w:cs="宋体"/>
          <w:color w:val="000000"/>
          <w:kern w:val="2"/>
          <w:sz w:val="21"/>
          <w:szCs w:val="21"/>
          <w:lang w:val="en-US" w:eastAsia="zh-CN" w:bidi="ar"/>
        </w:rPr>
        <w:t>4.6  承包人人员的管理</w:t>
      </w:r>
      <w:bookmarkEnd w:id="53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4.6.2  为完成合同约定的各项工作，承包人应向施工场地派遣或雇佣足够数量的下列人员：</w:t>
      </w:r>
    </w:p>
    <w:p>
      <w:pPr>
        <w:keepNext w:val="0"/>
        <w:keepLines w:val="0"/>
        <w:widowControl w:val="0"/>
        <w:suppressLineNumbers w:val="0"/>
        <w:spacing w:before="0" w:beforeAutospacing="0" w:after="0" w:afterAutospacing="0" w:line="400" w:lineRule="exact"/>
        <w:ind w:left="0" w:right="0" w:firstLine="718" w:firstLineChars="342"/>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（1）具有相应资格的专业技工和合格的普工；</w:t>
      </w:r>
    </w:p>
    <w:p>
      <w:pPr>
        <w:keepNext w:val="0"/>
        <w:keepLines w:val="0"/>
        <w:widowControl w:val="0"/>
        <w:suppressLineNumbers w:val="0"/>
        <w:spacing w:before="0" w:beforeAutospacing="0" w:after="0" w:afterAutospacing="0" w:line="400" w:lineRule="exact"/>
        <w:ind w:left="0" w:right="0" w:firstLine="718" w:firstLineChars="342"/>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（2）具有相应施工经验的技术人员；</w:t>
      </w:r>
    </w:p>
    <w:p>
      <w:pPr>
        <w:keepNext w:val="0"/>
        <w:keepLines w:val="0"/>
        <w:widowControl w:val="0"/>
        <w:suppressLineNumbers w:val="0"/>
        <w:spacing w:before="0" w:beforeAutospacing="0" w:after="0" w:afterAutospacing="0" w:line="400" w:lineRule="exact"/>
        <w:ind w:left="0" w:right="0" w:firstLine="718" w:firstLineChars="342"/>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（3）具有相应岗位资格的各级管理人员。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4.6.3  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4.6.4  特殊岗位的工作人员均应持有相应的资格证明，监理人有权随时检查。监理人认为有必要时，可进行现场考核。</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32" w:name="_Toc283794197"/>
      <w:bookmarkEnd w:id="532"/>
      <w:bookmarkStart w:id="533" w:name="_Toc282787446"/>
      <w:bookmarkEnd w:id="533"/>
      <w:bookmarkStart w:id="534" w:name="_Toc282779509"/>
      <w:bookmarkEnd w:id="534"/>
      <w:bookmarkStart w:id="535" w:name="_Toc282779000"/>
      <w:bookmarkEnd w:id="535"/>
      <w:bookmarkStart w:id="536" w:name="_Toc237923825"/>
      <w:bookmarkEnd w:id="536"/>
      <w:bookmarkStart w:id="537" w:name="_Toc288491525"/>
      <w:bookmarkEnd w:id="537"/>
      <w:bookmarkStart w:id="538" w:name="_Toc287853349"/>
      <w:bookmarkEnd w:id="538"/>
      <w:bookmarkStart w:id="539" w:name="_Toc152042424"/>
      <w:bookmarkEnd w:id="539"/>
      <w:bookmarkStart w:id="540" w:name="_Toc144974614"/>
      <w:bookmarkEnd w:id="540"/>
      <w:bookmarkStart w:id="541" w:name="_Toc179632664"/>
      <w:bookmarkEnd w:id="541"/>
      <w:bookmarkStart w:id="542" w:name="_Toc152045646"/>
      <w:r>
        <w:rPr>
          <w:rFonts w:hint="eastAsia" w:ascii="宋体" w:hAnsi="宋体" w:eastAsia="宋体" w:cs="宋体"/>
          <w:color w:val="000000"/>
          <w:kern w:val="2"/>
          <w:sz w:val="21"/>
          <w:szCs w:val="21"/>
          <w:lang w:val="en-US" w:eastAsia="zh-CN" w:bidi="ar"/>
        </w:rPr>
        <w:t>4.7  撤换承包人项目经理和其他人员</w:t>
      </w:r>
      <w:bookmarkEnd w:id="54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43" w:name="_Toc288491526"/>
      <w:bookmarkEnd w:id="543"/>
      <w:bookmarkStart w:id="544" w:name="_Toc283794198"/>
      <w:bookmarkEnd w:id="544"/>
      <w:bookmarkStart w:id="545" w:name="_Toc179632665"/>
      <w:bookmarkEnd w:id="545"/>
      <w:bookmarkStart w:id="546" w:name="_Toc152042425"/>
      <w:bookmarkEnd w:id="546"/>
      <w:bookmarkStart w:id="547" w:name="_Toc152045647"/>
      <w:bookmarkEnd w:id="547"/>
      <w:bookmarkStart w:id="548" w:name="_Toc287853350"/>
      <w:bookmarkEnd w:id="548"/>
      <w:bookmarkStart w:id="549" w:name="_Toc144974615"/>
      <w:bookmarkEnd w:id="549"/>
      <w:bookmarkStart w:id="550" w:name="_Toc237923826"/>
      <w:bookmarkEnd w:id="550"/>
      <w:bookmarkStart w:id="551" w:name="_Toc282779510"/>
      <w:bookmarkEnd w:id="551"/>
      <w:bookmarkStart w:id="552" w:name="_Toc282779001"/>
      <w:bookmarkEnd w:id="552"/>
      <w:bookmarkStart w:id="553" w:name="_Toc282787447"/>
      <w:r>
        <w:rPr>
          <w:rFonts w:hint="eastAsia" w:ascii="宋体" w:hAnsi="宋体" w:eastAsia="宋体" w:cs="宋体"/>
          <w:color w:val="000000"/>
          <w:kern w:val="2"/>
          <w:sz w:val="21"/>
          <w:szCs w:val="21"/>
          <w:lang w:val="en-US" w:eastAsia="zh-CN" w:bidi="ar"/>
        </w:rPr>
        <w:t>4.8  保障承包人人员的合法权益</w:t>
      </w:r>
      <w:bookmarkEnd w:id="55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4.8.1  承包人应与其雇佣的人员签订劳动合同，并按时发放工资。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4.8.2  承包人应按劳动法的规定安排工作时间，保证其雇佣人员享有休息和休假的权利。因工程施工的特殊需要占用休假日或延长工作时间的，应不超过法律规定的限度，并按法律规定给予补休或付酬。</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4.8.3  承包人应为其雇佣人员提供必要的食宿条件，以及符合环境保护和卫生要求的生活环境，在远离城镇的施工场地，还应配备必要的伤病防治和急救的医务人员与医疗设施。</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4.8.5  承包人应按有关法律规定和合同约定，为其雇佣人员办理保险。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4.8.6  承包人应负责处理其雇佣人员因工伤亡事故的善后事宜。</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54" w:name="_Toc152045648"/>
      <w:bookmarkEnd w:id="554"/>
      <w:bookmarkStart w:id="555" w:name="_Toc287853351"/>
      <w:bookmarkEnd w:id="555"/>
      <w:bookmarkStart w:id="556" w:name="_Toc282779511"/>
      <w:bookmarkEnd w:id="556"/>
      <w:bookmarkStart w:id="557" w:name="_Toc237923827"/>
      <w:bookmarkEnd w:id="557"/>
      <w:bookmarkStart w:id="558" w:name="_Toc144974616"/>
      <w:bookmarkEnd w:id="558"/>
      <w:bookmarkStart w:id="559" w:name="_Toc152042426"/>
      <w:bookmarkEnd w:id="559"/>
      <w:bookmarkStart w:id="560" w:name="_Toc179632666"/>
      <w:bookmarkEnd w:id="560"/>
      <w:bookmarkStart w:id="561" w:name="_Toc283794199"/>
      <w:bookmarkEnd w:id="561"/>
      <w:bookmarkStart w:id="562" w:name="_Toc288491527"/>
      <w:bookmarkEnd w:id="562"/>
      <w:bookmarkStart w:id="563" w:name="_Toc282787448"/>
      <w:bookmarkEnd w:id="563"/>
      <w:bookmarkStart w:id="564" w:name="_Toc282779002"/>
      <w:r>
        <w:rPr>
          <w:rFonts w:hint="eastAsia" w:ascii="宋体" w:hAnsi="宋体" w:eastAsia="宋体" w:cs="宋体"/>
          <w:color w:val="000000"/>
          <w:kern w:val="2"/>
          <w:sz w:val="21"/>
          <w:szCs w:val="21"/>
          <w:lang w:val="en-US" w:eastAsia="zh-CN" w:bidi="ar"/>
        </w:rPr>
        <w:t>4.9  工程价款应专款专用</w:t>
      </w:r>
      <w:bookmarkEnd w:id="56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按合同约定支付给承包人的各项价款应专用于合同工程。承包人必须在发包人指定的银行开户，并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65" w:name="_Toc283794200"/>
      <w:bookmarkEnd w:id="565"/>
      <w:bookmarkStart w:id="566" w:name="_Toc144974617"/>
      <w:bookmarkEnd w:id="566"/>
      <w:bookmarkStart w:id="567" w:name="_Toc282779512"/>
      <w:bookmarkEnd w:id="567"/>
      <w:bookmarkStart w:id="568" w:name="_Toc288491528"/>
      <w:bookmarkEnd w:id="568"/>
      <w:bookmarkStart w:id="569" w:name="_Toc179632667"/>
      <w:bookmarkEnd w:id="569"/>
      <w:bookmarkStart w:id="570" w:name="_Toc282787449"/>
      <w:bookmarkEnd w:id="570"/>
      <w:bookmarkStart w:id="571" w:name="_Toc152045649"/>
      <w:bookmarkEnd w:id="571"/>
      <w:bookmarkStart w:id="572" w:name="_Toc237923828"/>
      <w:bookmarkEnd w:id="572"/>
      <w:bookmarkStart w:id="573" w:name="_Toc287853352"/>
      <w:bookmarkEnd w:id="573"/>
      <w:bookmarkStart w:id="574" w:name="_Toc152042427"/>
      <w:bookmarkEnd w:id="574"/>
      <w:bookmarkStart w:id="575" w:name="_Toc282779003"/>
      <w:r>
        <w:rPr>
          <w:rFonts w:hint="eastAsia" w:ascii="宋体" w:hAnsi="宋体" w:eastAsia="宋体" w:cs="宋体"/>
          <w:color w:val="000000"/>
          <w:kern w:val="2"/>
          <w:sz w:val="21"/>
          <w:szCs w:val="21"/>
          <w:lang w:val="en-US" w:eastAsia="zh-CN" w:bidi="ar"/>
        </w:rPr>
        <w:t>4.10  承包人现场查勘</w:t>
      </w:r>
      <w:bookmarkEnd w:id="57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4.10.1  发包人提供的本合同工程的道路现状、交通流量、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4.10.2  承包人在送交投标文件之前，应认为已进行了现场考察，对现场和其周围环境以及可得到的有关资料进行了察看和核查，在考察时间允许的情况下已经查明了以下方面：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（1）现场的地形地貌和特征，包括地表以下的情况；</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（2）水文和气象条件；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（3）实施和完成本合同大中修养护工程的工作范围、性质和所需用的材料采购和加工；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（4）附近道路和水、电、食宿供应条件；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（5）当地的乡规民约和风俗习惯。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因此认为，承包人的投标文件是以发包人所提供资料和他自己察看和核查为依据的。承包人已取得可能对投标有影响或起作用的风险、意外等必要资料；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还应认为，在全部合同工作中，承包人已充分估计了应承担的责任和风险。</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76" w:name="_Toc282779004"/>
      <w:bookmarkEnd w:id="576"/>
      <w:bookmarkStart w:id="577" w:name="_Toc288491529"/>
      <w:bookmarkEnd w:id="577"/>
      <w:bookmarkStart w:id="578" w:name="_Toc179632668"/>
      <w:bookmarkEnd w:id="578"/>
      <w:bookmarkStart w:id="579" w:name="_Toc287853353"/>
      <w:bookmarkEnd w:id="579"/>
      <w:bookmarkStart w:id="580" w:name="_Toc283794201"/>
      <w:bookmarkEnd w:id="580"/>
      <w:bookmarkStart w:id="581" w:name="_Toc152045650"/>
      <w:bookmarkEnd w:id="581"/>
      <w:bookmarkStart w:id="582" w:name="_Toc144974618"/>
      <w:bookmarkEnd w:id="582"/>
      <w:bookmarkStart w:id="583" w:name="_Toc152042428"/>
      <w:bookmarkEnd w:id="583"/>
      <w:bookmarkStart w:id="584" w:name="_Toc282787450"/>
      <w:bookmarkEnd w:id="584"/>
      <w:bookmarkStart w:id="585" w:name="_Toc282779513"/>
      <w:bookmarkEnd w:id="585"/>
      <w:bookmarkStart w:id="586" w:name="_Toc237923829"/>
      <w:r>
        <w:rPr>
          <w:rFonts w:hint="eastAsia" w:ascii="宋体" w:hAnsi="宋体" w:eastAsia="宋体" w:cs="宋体"/>
          <w:color w:val="000000"/>
          <w:kern w:val="2"/>
          <w:sz w:val="21"/>
          <w:szCs w:val="21"/>
          <w:lang w:val="en-US" w:eastAsia="zh-CN" w:bidi="ar"/>
        </w:rPr>
        <w:t>4.11  不利物质条件</w:t>
      </w:r>
      <w:bookmarkEnd w:id="58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4.11.1  不利物质条件，除专用合同条款另有约定外，是指承包人在施工场地遇到的不可预见的自然物质条件、非自然的物质障碍和污染物，包括地下和水文条件，但不包括气候条件。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4.11.3  可预见的不利物质条件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（1）对于项目专用合同条款中已经明确指出的不利物质条件无论承包人是否有其经历和经验均视为承包人在接受合同时已预见其影响，并已在签约合同价中计入因其影响而可能发生的一切费用。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（2）对于项目专用合同条款未明确指出，但是在不利物质条件发生之前，监理人已经指示承包人有可能发生，但承包人未能及时采取有效措施，而导致的损失和后果均由承包人承担。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587" w:name="_Toc282787451"/>
      <w:bookmarkEnd w:id="587"/>
      <w:r>
        <w:rPr>
          <w:rFonts w:hint="eastAsia" w:ascii="宋体" w:hAnsi="宋体" w:eastAsia="宋体" w:cs="宋体"/>
          <w:color w:val="000000"/>
          <w:kern w:val="2"/>
          <w:sz w:val="21"/>
          <w:szCs w:val="21"/>
          <w:lang w:val="en-US" w:eastAsia="zh-CN" w:bidi="ar"/>
        </w:rPr>
        <w:t>4.12  投标文件的完备性</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双方一致认为，承包人在递交投标文件前，对本养护工程合同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养护工程及其缺陷修复所必需的一切工作和条件。</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588" w:name="_Toc3497"/>
      <w:bookmarkEnd w:id="588"/>
      <w:bookmarkStart w:id="589" w:name="_Toc179632669"/>
      <w:bookmarkEnd w:id="589"/>
      <w:bookmarkStart w:id="590" w:name="_Toc152045651"/>
      <w:bookmarkEnd w:id="590"/>
      <w:bookmarkStart w:id="591" w:name="_Toc514936605"/>
      <w:bookmarkEnd w:id="591"/>
      <w:bookmarkStart w:id="592" w:name="_Toc283794202"/>
      <w:bookmarkEnd w:id="592"/>
      <w:bookmarkStart w:id="593" w:name="_Toc237923830"/>
      <w:bookmarkEnd w:id="593"/>
      <w:bookmarkStart w:id="594" w:name="_Toc10547"/>
      <w:bookmarkEnd w:id="594"/>
      <w:bookmarkStart w:id="595" w:name="_Toc25037"/>
      <w:bookmarkEnd w:id="595"/>
      <w:bookmarkStart w:id="596" w:name="_Toc152042429"/>
      <w:bookmarkEnd w:id="596"/>
      <w:bookmarkStart w:id="597" w:name="_Toc287853354"/>
      <w:bookmarkEnd w:id="597"/>
      <w:bookmarkStart w:id="598" w:name="_Toc282787452"/>
      <w:bookmarkEnd w:id="598"/>
      <w:bookmarkStart w:id="599" w:name="_Toc26181"/>
      <w:bookmarkEnd w:id="599"/>
      <w:bookmarkStart w:id="600" w:name="_Toc118378076"/>
      <w:bookmarkEnd w:id="600"/>
      <w:bookmarkStart w:id="601" w:name="_Toc28167"/>
      <w:bookmarkEnd w:id="601"/>
      <w:bookmarkStart w:id="602" w:name="_Toc144974619"/>
      <w:bookmarkEnd w:id="602"/>
      <w:bookmarkStart w:id="603" w:name="_Toc27539"/>
      <w:bookmarkEnd w:id="603"/>
      <w:bookmarkStart w:id="604" w:name="_Toc20839"/>
      <w:bookmarkEnd w:id="604"/>
      <w:bookmarkStart w:id="605" w:name="_Toc28104"/>
      <w:bookmarkEnd w:id="605"/>
      <w:bookmarkStart w:id="606" w:name="_Toc288491530"/>
      <w:bookmarkEnd w:id="606"/>
      <w:bookmarkStart w:id="607" w:name="_Toc11611"/>
      <w:bookmarkEnd w:id="607"/>
      <w:bookmarkStart w:id="608" w:name="_Toc8747"/>
      <w:bookmarkEnd w:id="608"/>
      <w:bookmarkStart w:id="609" w:name="_Toc282779514"/>
      <w:bookmarkEnd w:id="609"/>
      <w:bookmarkStart w:id="610" w:name="_Toc19900"/>
      <w:bookmarkEnd w:id="610"/>
      <w:bookmarkStart w:id="611" w:name="_Toc282779005"/>
      <w:bookmarkEnd w:id="611"/>
      <w:bookmarkStart w:id="612" w:name="_Toc5030"/>
      <w:bookmarkEnd w:id="612"/>
      <w:bookmarkStart w:id="613" w:name="_Toc13264"/>
      <w:r>
        <w:rPr>
          <w:rFonts w:hint="eastAsia" w:ascii="宋体" w:hAnsi="宋体" w:eastAsia="宋体" w:cs="宋体"/>
          <w:color w:val="000000"/>
          <w:kern w:val="2"/>
          <w:sz w:val="21"/>
          <w:szCs w:val="21"/>
          <w:lang w:val="en-US" w:eastAsia="zh-CN" w:bidi="ar"/>
        </w:rPr>
        <w:t>5. 材料和工程设备</w:t>
      </w:r>
      <w:bookmarkEnd w:id="613"/>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14" w:name="_Toc282779006"/>
      <w:bookmarkEnd w:id="614"/>
      <w:bookmarkStart w:id="615" w:name="_Toc179632670"/>
      <w:bookmarkEnd w:id="615"/>
      <w:bookmarkStart w:id="616" w:name="_Toc282787453"/>
      <w:bookmarkEnd w:id="616"/>
      <w:bookmarkStart w:id="617" w:name="_Toc152042430"/>
      <w:bookmarkEnd w:id="617"/>
      <w:bookmarkStart w:id="618" w:name="_Toc152045652"/>
      <w:bookmarkEnd w:id="618"/>
      <w:bookmarkStart w:id="619" w:name="_Toc283794203"/>
      <w:bookmarkEnd w:id="619"/>
      <w:bookmarkStart w:id="620" w:name="_Toc237923831"/>
      <w:bookmarkEnd w:id="620"/>
      <w:bookmarkStart w:id="621" w:name="_Toc287853355"/>
      <w:bookmarkEnd w:id="621"/>
      <w:bookmarkStart w:id="622" w:name="_Toc144974620"/>
      <w:bookmarkEnd w:id="622"/>
      <w:bookmarkStart w:id="623" w:name="_Toc282779515"/>
      <w:bookmarkEnd w:id="623"/>
      <w:bookmarkStart w:id="624" w:name="_Toc288491531"/>
      <w:r>
        <w:rPr>
          <w:rFonts w:hint="eastAsia" w:ascii="宋体" w:hAnsi="宋体" w:eastAsia="宋体" w:cs="宋体"/>
          <w:color w:val="000000"/>
          <w:kern w:val="2"/>
          <w:sz w:val="21"/>
          <w:szCs w:val="21"/>
          <w:lang w:val="en-US" w:eastAsia="zh-CN" w:bidi="ar"/>
        </w:rPr>
        <w:t>5.1  承包人提供的材料和工程设备</w:t>
      </w:r>
      <w:bookmarkEnd w:id="62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5.1.1  除专用合同条款另有约定外，承包人提供的材料和工程设备均由承包人负责采购、运输和保管。承包人应对其采购的材料和工程设备负责。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5.1.2  承包人在用于本养护工程的材料和设备进场以前，承包人必须向监理人提交生产厂商出具的质量合格证书和承包人检验合格证书，证明材料、设备质量应符合本合同技术规范的规定，供监理人批准。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5.1.3  对承包人提供的材料和工程设备，承包人应会同监理人对材料或设备进行的检验、查验材料合格证明、产品合格证书和交货验收提供一切必要的协助；并按合同约定和监理人指示，在材料用于工程之前，承包人应按监理人的要求进行材料的抽样检验和工程设备的检验测试，提供材料样品以供检验。检验和测试结果应提交监理人，所需费用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25" w:name="_Toc152045653"/>
      <w:bookmarkEnd w:id="625"/>
      <w:bookmarkStart w:id="626" w:name="_Toc288491532"/>
      <w:bookmarkEnd w:id="626"/>
      <w:bookmarkStart w:id="627" w:name="_Toc282779516"/>
      <w:bookmarkEnd w:id="627"/>
      <w:bookmarkStart w:id="628" w:name="_Toc287853356"/>
      <w:bookmarkEnd w:id="628"/>
      <w:bookmarkStart w:id="629" w:name="_Toc282779007"/>
      <w:bookmarkEnd w:id="629"/>
      <w:bookmarkStart w:id="630" w:name="_Toc179632671"/>
      <w:bookmarkEnd w:id="630"/>
      <w:bookmarkStart w:id="631" w:name="_Toc282787454"/>
      <w:bookmarkEnd w:id="631"/>
      <w:bookmarkStart w:id="632" w:name="_Toc283794204"/>
      <w:bookmarkEnd w:id="632"/>
      <w:bookmarkStart w:id="633" w:name="_Toc152042431"/>
      <w:bookmarkEnd w:id="633"/>
      <w:bookmarkStart w:id="634" w:name="_Toc144974621"/>
      <w:bookmarkEnd w:id="634"/>
      <w:bookmarkStart w:id="635" w:name="_Toc237923832"/>
      <w:r>
        <w:rPr>
          <w:rFonts w:hint="eastAsia" w:ascii="宋体" w:hAnsi="宋体" w:eastAsia="宋体" w:cs="宋体"/>
          <w:color w:val="000000"/>
          <w:kern w:val="2"/>
          <w:sz w:val="21"/>
          <w:szCs w:val="21"/>
          <w:lang w:val="en-US" w:eastAsia="zh-CN" w:bidi="ar"/>
        </w:rPr>
        <w:t>5.2  发包人提供的材料和工程设备</w:t>
      </w:r>
      <w:bookmarkEnd w:id="63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5.2.1  发包人提供的材料和工程设备，应在专用合同条款中写明材料和工程设备的名称、规格、数量、价格、交货方式、交货地点和计划交货日期等。</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5.2.2  承包人应根据合同进度计划的安排，向监理人报送要求发包人交货的日期计划。发包人应按照监理人与合同双方当事人商定的交货日期，向承包人提交材料和工程设备。</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5.2.4  发包人要求向承包人提前交货的，承包人不得拒绝，但发包人应承担承包人由此增加的费用。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5.2.5 承包人要求更改交货日期或地点的，应事先报请监理人批准。由于承包人要求更改交货时间或地点所增加的费用和（或）工期延误由承包人承担。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36" w:name="_Toc179632672"/>
      <w:bookmarkEnd w:id="636"/>
      <w:bookmarkStart w:id="637" w:name="_Toc152045654"/>
      <w:bookmarkEnd w:id="637"/>
      <w:bookmarkStart w:id="638" w:name="_Toc282787455"/>
      <w:bookmarkEnd w:id="638"/>
      <w:bookmarkStart w:id="639" w:name="_Toc144974622"/>
      <w:bookmarkEnd w:id="639"/>
      <w:bookmarkStart w:id="640" w:name="_Toc152042432"/>
      <w:bookmarkEnd w:id="640"/>
      <w:bookmarkStart w:id="641" w:name="_Toc282779008"/>
      <w:bookmarkEnd w:id="641"/>
      <w:bookmarkStart w:id="642" w:name="_Toc282779517"/>
      <w:bookmarkEnd w:id="642"/>
      <w:bookmarkStart w:id="643" w:name="_Toc287853357"/>
      <w:bookmarkEnd w:id="643"/>
      <w:bookmarkStart w:id="644" w:name="_Toc283794205"/>
      <w:bookmarkEnd w:id="644"/>
      <w:bookmarkStart w:id="645" w:name="_Toc288491533"/>
      <w:bookmarkEnd w:id="645"/>
      <w:bookmarkStart w:id="646" w:name="_Toc237923833"/>
      <w:r>
        <w:rPr>
          <w:rFonts w:hint="eastAsia" w:ascii="宋体" w:hAnsi="宋体" w:eastAsia="宋体" w:cs="宋体"/>
          <w:color w:val="000000"/>
          <w:kern w:val="2"/>
          <w:sz w:val="21"/>
          <w:szCs w:val="21"/>
          <w:lang w:val="en-US" w:eastAsia="zh-CN" w:bidi="ar"/>
        </w:rPr>
        <w:t>5.3  材料和工程设备专用于合同工程</w:t>
      </w:r>
      <w:bookmarkEnd w:id="64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5.3.1  运入施工场地的材料、工程设备，包括备品备件、安装专用工器具与随机资料，必须专用于合同工程，未经监理人同意，承包人不得运出施工场地或挪作他用。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5.3.3  用于本养护工程的材料和设备进场以前，承包人必须向监理人提交生产厂商出具的质量合格证书和承包人检验合格证书，证明材料、设备质量应符合本合同技术规范的规定，供监理人批准。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承包人应随时按发包人的指令，在制造、加工或施工现场对材料和设备进行检验。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承包人应为监理人对材料或设备的检验提供一切必要的协助，在材料用于工程之前，承包人应按监理人的要求提供材料样品以供检验。</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47" w:name="_Toc287853358"/>
      <w:bookmarkEnd w:id="647"/>
      <w:bookmarkStart w:id="648" w:name="_Toc237923834"/>
      <w:bookmarkEnd w:id="648"/>
      <w:bookmarkStart w:id="649" w:name="_Toc152042433"/>
      <w:bookmarkEnd w:id="649"/>
      <w:bookmarkStart w:id="650" w:name="_Toc152045655"/>
      <w:bookmarkEnd w:id="650"/>
      <w:bookmarkStart w:id="651" w:name="_Toc282779518"/>
      <w:bookmarkEnd w:id="651"/>
      <w:bookmarkStart w:id="652" w:name="_Toc282787456"/>
      <w:bookmarkEnd w:id="652"/>
      <w:bookmarkStart w:id="653" w:name="_Toc179632673"/>
      <w:bookmarkEnd w:id="653"/>
      <w:bookmarkStart w:id="654" w:name="_Toc282779009"/>
      <w:bookmarkEnd w:id="654"/>
      <w:bookmarkStart w:id="655" w:name="_Toc288491534"/>
      <w:bookmarkEnd w:id="655"/>
      <w:bookmarkStart w:id="656" w:name="_Toc283794206"/>
      <w:bookmarkEnd w:id="656"/>
      <w:bookmarkStart w:id="657" w:name="_Toc144974623"/>
      <w:r>
        <w:rPr>
          <w:rFonts w:hint="eastAsia" w:ascii="宋体" w:hAnsi="宋体" w:eastAsia="宋体" w:cs="宋体"/>
          <w:color w:val="000000"/>
          <w:kern w:val="2"/>
          <w:sz w:val="21"/>
          <w:szCs w:val="21"/>
          <w:lang w:val="en-US" w:eastAsia="zh-CN" w:bidi="ar"/>
        </w:rPr>
        <w:t>5.4  禁止使用不合格的材料和工程设备</w:t>
      </w:r>
      <w:bookmarkEnd w:id="65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5.4.1  监理人有权拒绝承包人提供的不合格材料或工程设备，并要求承包人立即进行更换。监理人应在更换后再次进行检查和检验，由此增加的费用和（或）工期延误由承包人承担。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5.4.2  监理人发现承包人使用了不合格的材料和工程设备，应即时发出指示要求承包人立即改正，并禁止在工程中继续使用不合格的材料和工程设备。</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5.4.3  发包人提供的材料或工程设备不符合合同要求的，承包人有权拒绝，并可要求发包人更换，由此增加的费用和（或）工期延误由发包人承担。</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658" w:name="_Toc237923835"/>
      <w:bookmarkEnd w:id="658"/>
      <w:bookmarkStart w:id="659" w:name="_Toc282779519"/>
      <w:bookmarkEnd w:id="659"/>
      <w:bookmarkStart w:id="660" w:name="_Toc22341"/>
      <w:bookmarkEnd w:id="660"/>
      <w:bookmarkStart w:id="661" w:name="_Toc20692"/>
      <w:bookmarkEnd w:id="661"/>
      <w:bookmarkStart w:id="662" w:name="_Toc27823"/>
      <w:bookmarkEnd w:id="662"/>
      <w:bookmarkStart w:id="663" w:name="_Toc288491535"/>
      <w:bookmarkEnd w:id="663"/>
      <w:bookmarkStart w:id="664" w:name="_Toc283794207"/>
      <w:bookmarkEnd w:id="664"/>
      <w:bookmarkStart w:id="665" w:name="_Toc282779010"/>
      <w:bookmarkEnd w:id="665"/>
      <w:bookmarkStart w:id="666" w:name="_Toc28351"/>
      <w:bookmarkEnd w:id="666"/>
      <w:bookmarkStart w:id="667" w:name="_Toc31895"/>
      <w:bookmarkEnd w:id="667"/>
      <w:bookmarkStart w:id="668" w:name="_Toc179632674"/>
      <w:bookmarkEnd w:id="668"/>
      <w:bookmarkStart w:id="669" w:name="_Toc144974624"/>
      <w:bookmarkEnd w:id="669"/>
      <w:bookmarkStart w:id="670" w:name="_Toc287853359"/>
      <w:bookmarkEnd w:id="670"/>
      <w:bookmarkStart w:id="671" w:name="_Toc152045656"/>
      <w:bookmarkEnd w:id="671"/>
      <w:bookmarkStart w:id="672" w:name="_Toc15614"/>
      <w:bookmarkEnd w:id="672"/>
      <w:bookmarkStart w:id="673" w:name="_Toc118378077"/>
      <w:bookmarkEnd w:id="673"/>
      <w:bookmarkStart w:id="674" w:name="_Toc27627"/>
      <w:bookmarkEnd w:id="674"/>
      <w:bookmarkStart w:id="675" w:name="_Toc2136"/>
      <w:bookmarkEnd w:id="675"/>
      <w:bookmarkStart w:id="676" w:name="_Toc10209"/>
      <w:bookmarkEnd w:id="676"/>
      <w:bookmarkStart w:id="677" w:name="_Toc514936606"/>
      <w:bookmarkEnd w:id="677"/>
      <w:bookmarkStart w:id="678" w:name="_Toc11812"/>
      <w:bookmarkEnd w:id="678"/>
      <w:bookmarkStart w:id="679" w:name="_Toc20731"/>
      <w:bookmarkEnd w:id="679"/>
      <w:bookmarkStart w:id="680" w:name="_Toc152042434"/>
      <w:bookmarkEnd w:id="680"/>
      <w:bookmarkStart w:id="681" w:name="_Toc16680"/>
      <w:bookmarkEnd w:id="681"/>
      <w:bookmarkStart w:id="682" w:name="_Toc21675"/>
      <w:bookmarkEnd w:id="682"/>
      <w:bookmarkStart w:id="683" w:name="_Toc282787457"/>
      <w:r>
        <w:rPr>
          <w:rFonts w:hint="eastAsia" w:ascii="宋体" w:hAnsi="宋体" w:eastAsia="宋体" w:cs="宋体"/>
          <w:color w:val="000000"/>
          <w:kern w:val="2"/>
          <w:sz w:val="21"/>
          <w:szCs w:val="21"/>
          <w:lang w:val="en-US" w:eastAsia="zh-CN" w:bidi="ar"/>
        </w:rPr>
        <w:t>6．施工设备和临时设施</w:t>
      </w:r>
      <w:bookmarkEnd w:id="683"/>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84" w:name="_Toc282787458"/>
      <w:bookmarkEnd w:id="684"/>
      <w:bookmarkStart w:id="685" w:name="_Toc288491536"/>
      <w:bookmarkEnd w:id="685"/>
      <w:bookmarkStart w:id="686" w:name="_Toc152042435"/>
      <w:bookmarkEnd w:id="686"/>
      <w:bookmarkStart w:id="687" w:name="_Toc179632675"/>
      <w:bookmarkEnd w:id="687"/>
      <w:bookmarkStart w:id="688" w:name="_Toc282779011"/>
      <w:bookmarkEnd w:id="688"/>
      <w:bookmarkStart w:id="689" w:name="_Toc282779520"/>
      <w:bookmarkEnd w:id="689"/>
      <w:bookmarkStart w:id="690" w:name="_Toc287853360"/>
      <w:bookmarkEnd w:id="690"/>
      <w:bookmarkStart w:id="691" w:name="_Toc144974625"/>
      <w:bookmarkEnd w:id="691"/>
      <w:bookmarkStart w:id="692" w:name="_Toc283794208"/>
      <w:bookmarkEnd w:id="692"/>
      <w:bookmarkStart w:id="693" w:name="_Toc237923836"/>
      <w:bookmarkEnd w:id="693"/>
      <w:bookmarkStart w:id="694" w:name="_Toc152045657"/>
      <w:r>
        <w:rPr>
          <w:rFonts w:hint="eastAsia" w:ascii="宋体" w:hAnsi="宋体" w:eastAsia="宋体" w:cs="宋体"/>
          <w:color w:val="000000"/>
          <w:kern w:val="2"/>
          <w:sz w:val="21"/>
          <w:szCs w:val="21"/>
          <w:lang w:val="en-US" w:eastAsia="zh-CN" w:bidi="ar"/>
        </w:rPr>
        <w:t>6.1  承包人提供的施工设备和临时设施</w:t>
      </w:r>
      <w:bookmarkEnd w:id="69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6.1.1  承包人应按合同进度计划的要求，及时配置施工设备和修建临时设施。进入施工场地的承包人设备需经监理人核查后才能投入使用。承包人更换合同约定的承包人设备的，应报监理人批准。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6.1.2  除专用合同条款另有约定外，承包人应自行承担修建临时设施的费用，需要临时占地的，应由发包人办理申请手续并承担相应费用。</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695" w:name="_Toc282779012"/>
      <w:bookmarkEnd w:id="695"/>
      <w:bookmarkStart w:id="696" w:name="_Toc152042436"/>
      <w:bookmarkEnd w:id="696"/>
      <w:bookmarkStart w:id="697" w:name="_Toc282779521"/>
      <w:bookmarkEnd w:id="697"/>
      <w:bookmarkStart w:id="698" w:name="_Toc179632676"/>
      <w:bookmarkEnd w:id="698"/>
      <w:bookmarkStart w:id="699" w:name="_Toc288491537"/>
      <w:bookmarkEnd w:id="699"/>
      <w:bookmarkStart w:id="700" w:name="_Toc237923837"/>
      <w:bookmarkEnd w:id="700"/>
      <w:bookmarkStart w:id="701" w:name="_Toc287853361"/>
      <w:bookmarkEnd w:id="701"/>
      <w:bookmarkStart w:id="702" w:name="_Toc283794209"/>
      <w:bookmarkEnd w:id="702"/>
      <w:bookmarkStart w:id="703" w:name="_Toc282787459"/>
      <w:bookmarkEnd w:id="703"/>
      <w:bookmarkStart w:id="704" w:name="_Toc144974626"/>
      <w:bookmarkEnd w:id="704"/>
      <w:bookmarkStart w:id="705" w:name="_Toc152045658"/>
      <w:r>
        <w:rPr>
          <w:rFonts w:hint="eastAsia" w:ascii="宋体" w:hAnsi="宋体" w:eastAsia="宋体" w:cs="宋体"/>
          <w:color w:val="000000"/>
          <w:kern w:val="2"/>
          <w:sz w:val="21"/>
          <w:szCs w:val="21"/>
          <w:lang w:val="en-US" w:eastAsia="zh-CN" w:bidi="ar"/>
        </w:rPr>
        <w:t>6.2  发包人提供的施工设备和临时设施</w:t>
      </w:r>
      <w:bookmarkEnd w:id="70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发包人提供的施工设备或临时设施在专用合同条款中约定。</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06" w:name="_Toc152045659"/>
      <w:bookmarkEnd w:id="706"/>
      <w:bookmarkStart w:id="707" w:name="_Toc282779522"/>
      <w:bookmarkEnd w:id="707"/>
      <w:bookmarkStart w:id="708" w:name="_Toc152042437"/>
      <w:bookmarkEnd w:id="708"/>
      <w:bookmarkStart w:id="709" w:name="_Toc283794210"/>
      <w:bookmarkEnd w:id="709"/>
      <w:bookmarkStart w:id="710" w:name="_Toc282787460"/>
      <w:bookmarkEnd w:id="710"/>
      <w:bookmarkStart w:id="711" w:name="_Toc282779013"/>
      <w:bookmarkEnd w:id="711"/>
      <w:bookmarkStart w:id="712" w:name="_Toc144974627"/>
      <w:bookmarkEnd w:id="712"/>
      <w:bookmarkStart w:id="713" w:name="_Toc288491538"/>
      <w:bookmarkEnd w:id="713"/>
      <w:bookmarkStart w:id="714" w:name="_Toc179632677"/>
      <w:bookmarkEnd w:id="714"/>
      <w:bookmarkStart w:id="715" w:name="_Toc237923838"/>
      <w:bookmarkEnd w:id="715"/>
      <w:bookmarkStart w:id="716" w:name="_Toc287853362"/>
      <w:r>
        <w:rPr>
          <w:rFonts w:hint="eastAsia" w:ascii="宋体" w:hAnsi="宋体" w:eastAsia="宋体" w:cs="宋体"/>
          <w:color w:val="000000"/>
          <w:kern w:val="2"/>
          <w:sz w:val="21"/>
          <w:szCs w:val="21"/>
          <w:lang w:val="en-US" w:eastAsia="zh-CN" w:bidi="ar"/>
        </w:rPr>
        <w:t>6.3  要求承包人增加或更换施工设备</w:t>
      </w:r>
      <w:bookmarkEnd w:id="71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承包人使用的施工设备不能满足合同进度计划和（或）质量要求时，监理人有权要求承包人增加或更换施工设备，承包人应及时增加或更换，由此增加的费用和（或）工期延误由承包人承担。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17" w:name="_Toc152045660"/>
      <w:bookmarkEnd w:id="717"/>
      <w:bookmarkStart w:id="718" w:name="_Toc282779523"/>
      <w:bookmarkEnd w:id="718"/>
      <w:bookmarkStart w:id="719" w:name="_Toc237923839"/>
      <w:bookmarkEnd w:id="719"/>
      <w:bookmarkStart w:id="720" w:name="_Toc288491539"/>
      <w:bookmarkEnd w:id="720"/>
      <w:bookmarkStart w:id="721" w:name="_Toc287853363"/>
      <w:bookmarkEnd w:id="721"/>
      <w:bookmarkStart w:id="722" w:name="_Toc152042438"/>
      <w:bookmarkEnd w:id="722"/>
      <w:bookmarkStart w:id="723" w:name="_Toc282787461"/>
      <w:bookmarkEnd w:id="723"/>
      <w:bookmarkStart w:id="724" w:name="_Toc144974628"/>
      <w:bookmarkEnd w:id="724"/>
      <w:bookmarkStart w:id="725" w:name="_Toc282779014"/>
      <w:bookmarkEnd w:id="725"/>
      <w:bookmarkStart w:id="726" w:name="_Toc179632678"/>
      <w:bookmarkEnd w:id="726"/>
      <w:bookmarkStart w:id="727" w:name="_Toc283794211"/>
      <w:r>
        <w:rPr>
          <w:rFonts w:hint="eastAsia" w:ascii="宋体" w:hAnsi="宋体" w:eastAsia="宋体" w:cs="宋体"/>
          <w:color w:val="000000"/>
          <w:kern w:val="2"/>
          <w:sz w:val="21"/>
          <w:szCs w:val="21"/>
          <w:lang w:val="en-US" w:eastAsia="zh-CN" w:bidi="ar"/>
        </w:rPr>
        <w:t>6.4  施工设备和临时设施专用于合同工程</w:t>
      </w:r>
      <w:bookmarkEnd w:id="72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6.4.1  除合同另有约定外，运入施工场地的所有施工设备以及在施工场地建设的临时设施应专用于合同工程。未经监理人同意，不得将上述施工设备和临时设施中的任何部分运出施工场地或挪作他用。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6.4.2  经监理人同意，承包人可根据合同进度计划撤走闲置的施工设备。</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728" w:name="_Toc29500"/>
      <w:bookmarkEnd w:id="728"/>
      <w:bookmarkStart w:id="729" w:name="_Toc144974629"/>
      <w:bookmarkEnd w:id="729"/>
      <w:bookmarkStart w:id="730" w:name="_Toc26731"/>
      <w:bookmarkEnd w:id="730"/>
      <w:bookmarkStart w:id="731" w:name="_Toc237923840"/>
      <w:bookmarkEnd w:id="731"/>
      <w:bookmarkStart w:id="732" w:name="_Toc118378078"/>
      <w:bookmarkEnd w:id="732"/>
      <w:bookmarkStart w:id="733" w:name="_Toc179632679"/>
      <w:bookmarkEnd w:id="733"/>
      <w:bookmarkStart w:id="734" w:name="_Toc287853364"/>
      <w:bookmarkEnd w:id="734"/>
      <w:bookmarkStart w:id="735" w:name="_Toc7452"/>
      <w:bookmarkEnd w:id="735"/>
      <w:bookmarkStart w:id="736" w:name="_Toc282779524"/>
      <w:bookmarkEnd w:id="736"/>
      <w:bookmarkStart w:id="737" w:name="_Toc5702"/>
      <w:bookmarkEnd w:id="737"/>
      <w:bookmarkStart w:id="738" w:name="_Toc152042439"/>
      <w:bookmarkEnd w:id="738"/>
      <w:bookmarkStart w:id="739" w:name="_Toc288491540"/>
      <w:bookmarkEnd w:id="739"/>
      <w:bookmarkStart w:id="740" w:name="_Toc6718"/>
      <w:bookmarkEnd w:id="740"/>
      <w:bookmarkStart w:id="741" w:name="_Toc27523"/>
      <w:bookmarkEnd w:id="741"/>
      <w:bookmarkStart w:id="742" w:name="_Toc5040"/>
      <w:bookmarkEnd w:id="742"/>
      <w:bookmarkStart w:id="743" w:name="_Toc10696"/>
      <w:bookmarkEnd w:id="743"/>
      <w:bookmarkStart w:id="744" w:name="_Toc152045661"/>
      <w:bookmarkEnd w:id="744"/>
      <w:bookmarkStart w:id="745" w:name="_Toc32006"/>
      <w:bookmarkEnd w:id="745"/>
      <w:bookmarkStart w:id="746" w:name="_Toc282787462"/>
      <w:bookmarkEnd w:id="746"/>
      <w:bookmarkStart w:id="747" w:name="_Toc31825"/>
      <w:bookmarkEnd w:id="747"/>
      <w:bookmarkStart w:id="748" w:name="_Toc283794212"/>
      <w:bookmarkEnd w:id="748"/>
      <w:bookmarkStart w:id="749" w:name="_Toc3840"/>
      <w:bookmarkEnd w:id="749"/>
      <w:bookmarkStart w:id="750" w:name="_Toc514936607"/>
      <w:bookmarkEnd w:id="750"/>
      <w:bookmarkStart w:id="751" w:name="_Toc282779015"/>
      <w:bookmarkEnd w:id="751"/>
      <w:bookmarkStart w:id="752" w:name="_Toc12611"/>
      <w:bookmarkEnd w:id="752"/>
      <w:bookmarkStart w:id="753" w:name="_Toc31582"/>
      <w:r>
        <w:rPr>
          <w:rFonts w:hint="eastAsia" w:ascii="宋体" w:hAnsi="宋体" w:eastAsia="宋体" w:cs="宋体"/>
          <w:color w:val="000000"/>
          <w:kern w:val="2"/>
          <w:sz w:val="21"/>
          <w:szCs w:val="21"/>
          <w:lang w:val="en-US" w:eastAsia="zh-CN" w:bidi="ar"/>
        </w:rPr>
        <w:t>7. 交通运输</w:t>
      </w:r>
      <w:bookmarkEnd w:id="753"/>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54" w:name="_Toc287853365"/>
      <w:bookmarkEnd w:id="754"/>
      <w:bookmarkStart w:id="755" w:name="_Toc283794213"/>
      <w:bookmarkEnd w:id="755"/>
      <w:bookmarkStart w:id="756" w:name="_Toc179632680"/>
      <w:bookmarkEnd w:id="756"/>
      <w:bookmarkStart w:id="757" w:name="_Toc282779525"/>
      <w:bookmarkEnd w:id="757"/>
      <w:bookmarkStart w:id="758" w:name="_Toc288491541"/>
      <w:bookmarkEnd w:id="758"/>
      <w:bookmarkStart w:id="759" w:name="_Toc152042440"/>
      <w:bookmarkEnd w:id="759"/>
      <w:bookmarkStart w:id="760" w:name="_Toc282779016"/>
      <w:bookmarkEnd w:id="760"/>
      <w:bookmarkStart w:id="761" w:name="_Toc152045662"/>
      <w:bookmarkEnd w:id="761"/>
      <w:bookmarkStart w:id="762" w:name="_Toc237923841"/>
      <w:bookmarkEnd w:id="762"/>
      <w:bookmarkStart w:id="763" w:name="_Toc282787463"/>
      <w:bookmarkEnd w:id="763"/>
      <w:bookmarkStart w:id="764" w:name="_Toc144974630"/>
      <w:r>
        <w:rPr>
          <w:rFonts w:hint="eastAsia" w:ascii="宋体" w:hAnsi="宋体" w:eastAsia="宋体" w:cs="宋体"/>
          <w:color w:val="000000"/>
          <w:kern w:val="2"/>
          <w:sz w:val="21"/>
          <w:szCs w:val="21"/>
          <w:lang w:val="en-US" w:eastAsia="zh-CN" w:bidi="ar"/>
        </w:rPr>
        <w:t>7.1  道路通行权和场外设施</w:t>
      </w:r>
      <w:bookmarkEnd w:id="76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65" w:name="_Toc287853366"/>
      <w:bookmarkEnd w:id="765"/>
      <w:bookmarkStart w:id="766" w:name="_Toc283794214"/>
      <w:bookmarkEnd w:id="766"/>
      <w:bookmarkStart w:id="767" w:name="_Toc152042441"/>
      <w:bookmarkEnd w:id="767"/>
      <w:bookmarkStart w:id="768" w:name="_Toc282779017"/>
      <w:bookmarkEnd w:id="768"/>
      <w:bookmarkStart w:id="769" w:name="_Toc179632681"/>
      <w:bookmarkEnd w:id="769"/>
      <w:bookmarkStart w:id="770" w:name="_Toc282787464"/>
      <w:bookmarkEnd w:id="770"/>
      <w:bookmarkStart w:id="771" w:name="_Toc152045663"/>
      <w:bookmarkEnd w:id="771"/>
      <w:bookmarkStart w:id="772" w:name="_Toc282779526"/>
      <w:bookmarkEnd w:id="772"/>
      <w:bookmarkStart w:id="773" w:name="_Toc144974631"/>
      <w:bookmarkEnd w:id="773"/>
      <w:bookmarkStart w:id="774" w:name="_Toc237923842"/>
      <w:bookmarkEnd w:id="774"/>
      <w:bookmarkStart w:id="775" w:name="_Toc288491542"/>
      <w:r>
        <w:rPr>
          <w:rFonts w:hint="eastAsia" w:ascii="宋体" w:hAnsi="宋体" w:eastAsia="宋体" w:cs="宋体"/>
          <w:color w:val="000000"/>
          <w:kern w:val="2"/>
          <w:sz w:val="21"/>
          <w:szCs w:val="21"/>
          <w:lang w:val="en-US" w:eastAsia="zh-CN" w:bidi="ar"/>
        </w:rPr>
        <w:t>7.2  场内施工道路</w:t>
      </w:r>
      <w:bookmarkEnd w:id="77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7.2.1  除专用合同条款另有约定外，承包人应负责修建、维修、养护和管理施工所需的临时道路和交通设施，包括维修、养护和管理发包人提供的道路和交通设施，并承担相应费用。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7.2.2  除专用合同条款另有约定外，承包人修建的临时道路和交通设施应免费提供发包人和监理人使用。</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76" w:name="_Toc287853367"/>
      <w:bookmarkEnd w:id="776"/>
      <w:bookmarkStart w:id="777" w:name="_Toc283794215"/>
      <w:bookmarkEnd w:id="777"/>
      <w:bookmarkStart w:id="778" w:name="_Toc179632682"/>
      <w:bookmarkEnd w:id="778"/>
      <w:bookmarkStart w:id="779" w:name="_Toc282779018"/>
      <w:bookmarkEnd w:id="779"/>
      <w:bookmarkStart w:id="780" w:name="_Toc282779527"/>
      <w:bookmarkEnd w:id="780"/>
      <w:bookmarkStart w:id="781" w:name="_Toc144974632"/>
      <w:bookmarkEnd w:id="781"/>
      <w:bookmarkStart w:id="782" w:name="_Toc288491543"/>
      <w:bookmarkEnd w:id="782"/>
      <w:bookmarkStart w:id="783" w:name="_Toc282787465"/>
      <w:bookmarkEnd w:id="783"/>
      <w:bookmarkStart w:id="784" w:name="_Toc152042442"/>
      <w:bookmarkEnd w:id="784"/>
      <w:bookmarkStart w:id="785" w:name="_Toc237923843"/>
      <w:bookmarkEnd w:id="785"/>
      <w:bookmarkStart w:id="786" w:name="_Toc152045664"/>
      <w:r>
        <w:rPr>
          <w:rFonts w:hint="eastAsia" w:ascii="宋体" w:hAnsi="宋体" w:eastAsia="宋体" w:cs="宋体"/>
          <w:color w:val="000000"/>
          <w:kern w:val="2"/>
          <w:sz w:val="21"/>
          <w:szCs w:val="21"/>
          <w:lang w:val="en-US" w:eastAsia="zh-CN" w:bidi="ar"/>
        </w:rPr>
        <w:t>7.3  场外交通</w:t>
      </w:r>
      <w:bookmarkEnd w:id="78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7.3.1  承包人车辆外出行驶所需的场外公共道路的通行费、养路费和税款等由承包人承担。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7.3.2  承包人应遵守有关交通法规，严格按照道路和桥梁的限制荷重安全行驶，并服从交通管理部门的检查和监督。</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87" w:name="_Toc144974633"/>
      <w:bookmarkEnd w:id="787"/>
      <w:bookmarkStart w:id="788" w:name="_Toc282779528"/>
      <w:bookmarkEnd w:id="788"/>
      <w:bookmarkStart w:id="789" w:name="_Toc237923844"/>
      <w:bookmarkEnd w:id="789"/>
      <w:bookmarkStart w:id="790" w:name="_Toc152042443"/>
      <w:bookmarkEnd w:id="790"/>
      <w:bookmarkStart w:id="791" w:name="_Toc282787466"/>
      <w:bookmarkEnd w:id="791"/>
      <w:bookmarkStart w:id="792" w:name="_Toc179632683"/>
      <w:bookmarkEnd w:id="792"/>
      <w:bookmarkStart w:id="793" w:name="_Toc282779019"/>
      <w:bookmarkEnd w:id="793"/>
      <w:bookmarkStart w:id="794" w:name="_Toc152045665"/>
      <w:bookmarkEnd w:id="794"/>
      <w:bookmarkStart w:id="795" w:name="_Toc283794216"/>
      <w:bookmarkEnd w:id="795"/>
      <w:bookmarkStart w:id="796" w:name="_Toc288491544"/>
      <w:bookmarkEnd w:id="796"/>
      <w:bookmarkStart w:id="797" w:name="_Toc287853368"/>
      <w:r>
        <w:rPr>
          <w:rFonts w:hint="eastAsia" w:ascii="宋体" w:hAnsi="宋体" w:eastAsia="宋体" w:cs="宋体"/>
          <w:color w:val="000000"/>
          <w:kern w:val="2"/>
          <w:sz w:val="21"/>
          <w:szCs w:val="21"/>
          <w:lang w:val="en-US" w:eastAsia="zh-CN" w:bidi="ar"/>
        </w:rPr>
        <w:t>7.4  超大件和超重件的运输</w:t>
      </w:r>
      <w:bookmarkEnd w:id="79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798" w:name="_Toc152045666"/>
      <w:bookmarkEnd w:id="798"/>
      <w:bookmarkStart w:id="799" w:name="_Toc144974634"/>
      <w:bookmarkEnd w:id="799"/>
      <w:bookmarkStart w:id="800" w:name="_Toc282779529"/>
      <w:bookmarkEnd w:id="800"/>
      <w:bookmarkStart w:id="801" w:name="_Toc179632684"/>
      <w:bookmarkEnd w:id="801"/>
      <w:bookmarkStart w:id="802" w:name="_Toc283794217"/>
      <w:bookmarkEnd w:id="802"/>
      <w:bookmarkStart w:id="803" w:name="_Toc282779020"/>
      <w:bookmarkEnd w:id="803"/>
      <w:bookmarkStart w:id="804" w:name="_Toc282787467"/>
      <w:bookmarkEnd w:id="804"/>
      <w:bookmarkStart w:id="805" w:name="_Toc152042444"/>
      <w:bookmarkEnd w:id="805"/>
      <w:bookmarkStart w:id="806" w:name="_Toc287853369"/>
      <w:bookmarkEnd w:id="806"/>
      <w:bookmarkStart w:id="807" w:name="_Toc288491545"/>
      <w:bookmarkEnd w:id="807"/>
      <w:bookmarkStart w:id="808" w:name="_Toc237923845"/>
      <w:r>
        <w:rPr>
          <w:rFonts w:hint="eastAsia" w:ascii="宋体" w:hAnsi="宋体" w:eastAsia="宋体" w:cs="宋体"/>
          <w:color w:val="000000"/>
          <w:kern w:val="2"/>
          <w:sz w:val="21"/>
          <w:szCs w:val="21"/>
          <w:lang w:val="en-US" w:eastAsia="zh-CN" w:bidi="ar"/>
        </w:rPr>
        <w:t>7.5  道路和桥梁的损坏责任</w:t>
      </w:r>
      <w:bookmarkEnd w:id="80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因承包人运输造成施工场地内外公共道路和桥梁损坏的，由承包人承担修复损坏的全部费用和可能引起的赔偿。</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809" w:name="_Toc144974635"/>
      <w:bookmarkEnd w:id="809"/>
      <w:bookmarkStart w:id="810" w:name="_Toc282779530"/>
      <w:bookmarkEnd w:id="810"/>
      <w:bookmarkStart w:id="811" w:name="_Toc237923846"/>
      <w:bookmarkEnd w:id="811"/>
      <w:bookmarkStart w:id="812" w:name="_Toc283794218"/>
      <w:bookmarkEnd w:id="812"/>
      <w:bookmarkStart w:id="813" w:name="_Toc282779021"/>
      <w:bookmarkEnd w:id="813"/>
      <w:bookmarkStart w:id="814" w:name="_Toc152045667"/>
      <w:bookmarkEnd w:id="814"/>
      <w:bookmarkStart w:id="815" w:name="_Toc179632685"/>
      <w:bookmarkEnd w:id="815"/>
      <w:bookmarkStart w:id="816" w:name="_Toc152042445"/>
      <w:bookmarkEnd w:id="816"/>
      <w:bookmarkStart w:id="817" w:name="_Toc288491546"/>
      <w:bookmarkEnd w:id="817"/>
      <w:bookmarkStart w:id="818" w:name="_Toc287853370"/>
      <w:bookmarkEnd w:id="818"/>
      <w:bookmarkStart w:id="819" w:name="_Toc282787468"/>
      <w:r>
        <w:rPr>
          <w:rFonts w:hint="eastAsia" w:ascii="宋体" w:hAnsi="宋体" w:eastAsia="宋体" w:cs="宋体"/>
          <w:color w:val="000000"/>
          <w:kern w:val="2"/>
          <w:sz w:val="21"/>
          <w:szCs w:val="21"/>
          <w:lang w:val="en-US" w:eastAsia="zh-CN" w:bidi="ar"/>
        </w:rPr>
        <w:t>7.6  水路和航空运输</w:t>
      </w:r>
      <w:bookmarkEnd w:id="81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本条上述各款的内容适用于水路运输和航空运输，其中“道路”一词的涵义包括河道、航线、船闸、机场、码头、堤防以及水路或航空运输中其他相似结构物；“车辆”一词的涵义包括船舶和飞机等。 </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820" w:name="_Toc283794219"/>
      <w:bookmarkEnd w:id="820"/>
      <w:bookmarkStart w:id="821" w:name="_Toc144974636"/>
      <w:bookmarkEnd w:id="821"/>
      <w:bookmarkStart w:id="822" w:name="_Toc152042446"/>
      <w:bookmarkEnd w:id="822"/>
      <w:bookmarkStart w:id="823" w:name="_Toc514936608"/>
      <w:bookmarkEnd w:id="823"/>
      <w:bookmarkStart w:id="824" w:name="_Toc26121"/>
      <w:bookmarkEnd w:id="824"/>
      <w:bookmarkStart w:id="825" w:name="_Toc288491547"/>
      <w:bookmarkEnd w:id="825"/>
      <w:bookmarkStart w:id="826" w:name="_Toc10984"/>
      <w:bookmarkEnd w:id="826"/>
      <w:bookmarkStart w:id="827" w:name="_Toc118378079"/>
      <w:bookmarkEnd w:id="827"/>
      <w:bookmarkStart w:id="828" w:name="_Toc26227"/>
      <w:bookmarkEnd w:id="828"/>
      <w:bookmarkStart w:id="829" w:name="_Toc282787469"/>
      <w:bookmarkEnd w:id="829"/>
      <w:bookmarkStart w:id="830" w:name="_Toc1531"/>
      <w:bookmarkEnd w:id="830"/>
      <w:bookmarkStart w:id="831" w:name="_Toc503"/>
      <w:bookmarkEnd w:id="831"/>
      <w:bookmarkStart w:id="832" w:name="_Toc282779022"/>
      <w:bookmarkEnd w:id="832"/>
      <w:bookmarkStart w:id="833" w:name="_Toc6048"/>
      <w:bookmarkEnd w:id="833"/>
      <w:bookmarkStart w:id="834" w:name="_Toc9595"/>
      <w:bookmarkEnd w:id="834"/>
      <w:bookmarkStart w:id="835" w:name="_Toc282779531"/>
      <w:bookmarkEnd w:id="835"/>
      <w:bookmarkStart w:id="836" w:name="_Toc28031"/>
      <w:bookmarkEnd w:id="836"/>
      <w:bookmarkStart w:id="837" w:name="_Toc237923847"/>
      <w:bookmarkEnd w:id="837"/>
      <w:bookmarkStart w:id="838" w:name="_Toc152045668"/>
      <w:bookmarkEnd w:id="838"/>
      <w:bookmarkStart w:id="839" w:name="_Toc10022"/>
      <w:bookmarkEnd w:id="839"/>
      <w:bookmarkStart w:id="840" w:name="_Toc9571"/>
      <w:bookmarkEnd w:id="840"/>
      <w:bookmarkStart w:id="841" w:name="_Toc287853371"/>
      <w:bookmarkEnd w:id="841"/>
      <w:bookmarkStart w:id="842" w:name="_Toc30918"/>
      <w:bookmarkEnd w:id="842"/>
      <w:bookmarkStart w:id="843" w:name="_Toc179632686"/>
      <w:bookmarkEnd w:id="843"/>
      <w:bookmarkStart w:id="844" w:name="_Toc26793"/>
      <w:bookmarkEnd w:id="844"/>
      <w:bookmarkStart w:id="845" w:name="_Toc26850"/>
      <w:r>
        <w:rPr>
          <w:rFonts w:hint="eastAsia" w:ascii="宋体" w:hAnsi="宋体" w:eastAsia="宋体" w:cs="宋体"/>
          <w:color w:val="000000"/>
          <w:kern w:val="2"/>
          <w:sz w:val="21"/>
          <w:szCs w:val="21"/>
          <w:lang w:val="en-US" w:eastAsia="zh-CN" w:bidi="ar"/>
        </w:rPr>
        <w:t>8．测量放线</w:t>
      </w:r>
      <w:bookmarkEnd w:id="845"/>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846" w:name="_Toc179632687"/>
      <w:bookmarkEnd w:id="846"/>
      <w:bookmarkStart w:id="847" w:name="_Toc282779532"/>
      <w:bookmarkEnd w:id="847"/>
      <w:bookmarkStart w:id="848" w:name="_Toc282787470"/>
      <w:bookmarkEnd w:id="848"/>
      <w:bookmarkStart w:id="849" w:name="_Toc282779023"/>
      <w:bookmarkEnd w:id="849"/>
      <w:bookmarkStart w:id="850" w:name="_Toc287853372"/>
      <w:bookmarkEnd w:id="850"/>
      <w:bookmarkStart w:id="851" w:name="_Toc283794220"/>
      <w:bookmarkEnd w:id="851"/>
      <w:bookmarkStart w:id="852" w:name="_Toc152045669"/>
      <w:bookmarkEnd w:id="852"/>
      <w:bookmarkStart w:id="853" w:name="_Toc144974637"/>
      <w:bookmarkEnd w:id="853"/>
      <w:bookmarkStart w:id="854" w:name="_Toc288491548"/>
      <w:bookmarkEnd w:id="854"/>
      <w:bookmarkStart w:id="855" w:name="_Toc237923848"/>
      <w:bookmarkEnd w:id="855"/>
      <w:bookmarkStart w:id="856" w:name="_Toc152042447"/>
      <w:r>
        <w:rPr>
          <w:rFonts w:hint="eastAsia" w:ascii="宋体" w:hAnsi="宋体" w:eastAsia="宋体" w:cs="宋体"/>
          <w:color w:val="000000"/>
          <w:kern w:val="2"/>
          <w:sz w:val="21"/>
          <w:szCs w:val="21"/>
          <w:lang w:val="en-US" w:eastAsia="zh-CN" w:bidi="ar"/>
        </w:rPr>
        <w:t>8.1  施工控制网</w:t>
      </w:r>
      <w:bookmarkEnd w:id="85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8.1.2  承包人应负责管理施工控制网点。施工控制网点丢失或损坏的，承包人应及时修复。承包人应承担施工控制网点的管理与修复费用，并在工程竣工后将施工控制网点移交发包人。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857" w:name="_Toc152042448"/>
      <w:bookmarkEnd w:id="857"/>
      <w:bookmarkStart w:id="858" w:name="_Toc152045670"/>
      <w:bookmarkEnd w:id="858"/>
      <w:bookmarkStart w:id="859" w:name="_Toc237923849"/>
      <w:bookmarkEnd w:id="859"/>
      <w:bookmarkStart w:id="860" w:name="_Toc282779024"/>
      <w:bookmarkEnd w:id="860"/>
      <w:bookmarkStart w:id="861" w:name="_Toc283794221"/>
      <w:bookmarkEnd w:id="861"/>
      <w:bookmarkStart w:id="862" w:name="_Toc179632688"/>
      <w:bookmarkEnd w:id="862"/>
      <w:bookmarkStart w:id="863" w:name="_Toc282779533"/>
      <w:bookmarkEnd w:id="863"/>
      <w:bookmarkStart w:id="864" w:name="_Toc287853373"/>
      <w:bookmarkEnd w:id="864"/>
      <w:bookmarkStart w:id="865" w:name="_Toc282787471"/>
      <w:bookmarkEnd w:id="865"/>
      <w:bookmarkStart w:id="866" w:name="_Toc144974638"/>
      <w:bookmarkEnd w:id="866"/>
      <w:bookmarkStart w:id="867" w:name="_Toc288491549"/>
      <w:r>
        <w:rPr>
          <w:rFonts w:hint="eastAsia" w:ascii="宋体" w:hAnsi="宋体" w:eastAsia="宋体" w:cs="宋体"/>
          <w:color w:val="000000"/>
          <w:kern w:val="2"/>
          <w:sz w:val="21"/>
          <w:szCs w:val="21"/>
          <w:lang w:val="en-US" w:eastAsia="zh-CN" w:bidi="ar"/>
        </w:rPr>
        <w:t>8.2  施工测量</w:t>
      </w:r>
      <w:bookmarkEnd w:id="86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8.2.1  承包人应负责施工过程中的全部施工测量放线工作，并配置合格的人员、仪器、设备和其他物品。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8.2.2  监理人可以指示承包人进行抽样复测，当复测中发现错误或出现超过合同约定的误差时，承包人应按监理人指示进行修正或补测，并承担相应的复测费用。</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868" w:name="_Toc282779025"/>
      <w:bookmarkEnd w:id="868"/>
      <w:bookmarkStart w:id="869" w:name="_Toc152045671"/>
      <w:bookmarkEnd w:id="869"/>
      <w:bookmarkStart w:id="870" w:name="_Toc283794222"/>
      <w:bookmarkEnd w:id="870"/>
      <w:bookmarkStart w:id="871" w:name="_Toc282787472"/>
      <w:bookmarkEnd w:id="871"/>
      <w:bookmarkStart w:id="872" w:name="_Toc288491550"/>
      <w:bookmarkEnd w:id="872"/>
      <w:bookmarkStart w:id="873" w:name="_Toc287853374"/>
      <w:bookmarkEnd w:id="873"/>
      <w:bookmarkStart w:id="874" w:name="_Toc237923850"/>
      <w:bookmarkEnd w:id="874"/>
      <w:bookmarkStart w:id="875" w:name="_Toc144974639"/>
      <w:bookmarkEnd w:id="875"/>
      <w:bookmarkStart w:id="876" w:name="_Toc282779534"/>
      <w:bookmarkEnd w:id="876"/>
      <w:bookmarkStart w:id="877" w:name="_Toc179632689"/>
      <w:bookmarkEnd w:id="877"/>
      <w:bookmarkStart w:id="878" w:name="_Toc152042449"/>
      <w:r>
        <w:rPr>
          <w:rFonts w:hint="eastAsia" w:ascii="宋体" w:hAnsi="宋体" w:eastAsia="宋体" w:cs="宋体"/>
          <w:color w:val="000000"/>
          <w:kern w:val="2"/>
          <w:sz w:val="21"/>
          <w:szCs w:val="21"/>
          <w:lang w:val="en-US" w:eastAsia="zh-CN" w:bidi="ar"/>
        </w:rPr>
        <w:t>8.3  基准资料错误的责任</w:t>
      </w:r>
      <w:bookmarkEnd w:id="87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879" w:name="_Toc283794223"/>
      <w:bookmarkEnd w:id="879"/>
      <w:bookmarkStart w:id="880" w:name="_Toc152045672"/>
      <w:bookmarkEnd w:id="880"/>
      <w:bookmarkStart w:id="881" w:name="_Toc282787473"/>
      <w:bookmarkEnd w:id="881"/>
      <w:bookmarkStart w:id="882" w:name="_Toc179632690"/>
      <w:bookmarkEnd w:id="882"/>
      <w:bookmarkStart w:id="883" w:name="_Toc282779535"/>
      <w:bookmarkEnd w:id="883"/>
      <w:bookmarkStart w:id="884" w:name="_Toc282779026"/>
      <w:bookmarkEnd w:id="884"/>
      <w:bookmarkStart w:id="885" w:name="_Toc287853375"/>
      <w:bookmarkEnd w:id="885"/>
      <w:bookmarkStart w:id="886" w:name="_Toc237923851"/>
      <w:bookmarkEnd w:id="886"/>
      <w:bookmarkStart w:id="887" w:name="_Toc152042450"/>
      <w:bookmarkEnd w:id="887"/>
      <w:bookmarkStart w:id="888" w:name="_Toc288491551"/>
      <w:bookmarkEnd w:id="888"/>
      <w:bookmarkStart w:id="889" w:name="_Toc144974640"/>
      <w:r>
        <w:rPr>
          <w:rFonts w:hint="eastAsia" w:ascii="宋体" w:hAnsi="宋体" w:eastAsia="宋体" w:cs="宋体"/>
          <w:color w:val="000000"/>
          <w:kern w:val="2"/>
          <w:sz w:val="21"/>
          <w:szCs w:val="21"/>
          <w:lang w:val="en-US" w:eastAsia="zh-CN" w:bidi="ar"/>
        </w:rPr>
        <w:t>8.4  监理人使用施工控制网</w:t>
      </w:r>
      <w:bookmarkEnd w:id="88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监理人需要使用施工控制网的，承包人应提供必要的协助，发包人不再为此支付费用。</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890" w:name="_Toc118378080"/>
      <w:bookmarkEnd w:id="890"/>
      <w:bookmarkStart w:id="891" w:name="_Toc179632691"/>
      <w:bookmarkEnd w:id="891"/>
      <w:bookmarkStart w:id="892" w:name="_Toc21722"/>
      <w:bookmarkEnd w:id="892"/>
      <w:bookmarkStart w:id="893" w:name="_Toc11893"/>
      <w:bookmarkEnd w:id="893"/>
      <w:bookmarkStart w:id="894" w:name="_Toc11608"/>
      <w:bookmarkEnd w:id="894"/>
      <w:bookmarkStart w:id="895" w:name="_Toc287853376"/>
      <w:bookmarkEnd w:id="895"/>
      <w:bookmarkStart w:id="896" w:name="_Toc27642"/>
      <w:bookmarkEnd w:id="896"/>
      <w:bookmarkStart w:id="897" w:name="_Toc237923852"/>
      <w:bookmarkEnd w:id="897"/>
      <w:bookmarkStart w:id="898" w:name="_Toc16933"/>
      <w:bookmarkEnd w:id="898"/>
      <w:bookmarkStart w:id="899" w:name="_Toc144974641"/>
      <w:bookmarkEnd w:id="899"/>
      <w:bookmarkStart w:id="900" w:name="_Toc4060"/>
      <w:bookmarkEnd w:id="900"/>
      <w:bookmarkStart w:id="901" w:name="_Toc514936609"/>
      <w:bookmarkEnd w:id="901"/>
      <w:bookmarkStart w:id="902" w:name="_Toc32543"/>
      <w:bookmarkEnd w:id="902"/>
      <w:bookmarkStart w:id="903" w:name="_Toc4541"/>
      <w:bookmarkEnd w:id="903"/>
      <w:bookmarkStart w:id="904" w:name="_Toc282787474"/>
      <w:bookmarkEnd w:id="904"/>
      <w:bookmarkStart w:id="905" w:name="_Toc152042451"/>
      <w:bookmarkEnd w:id="905"/>
      <w:bookmarkStart w:id="906" w:name="_Toc282779536"/>
      <w:bookmarkEnd w:id="906"/>
      <w:bookmarkStart w:id="907" w:name="_Toc28647"/>
      <w:bookmarkEnd w:id="907"/>
      <w:bookmarkStart w:id="908" w:name="_Toc288491552"/>
      <w:bookmarkEnd w:id="908"/>
      <w:bookmarkStart w:id="909" w:name="_Toc283794224"/>
      <w:bookmarkEnd w:id="909"/>
      <w:bookmarkStart w:id="910" w:name="_Toc6162"/>
      <w:bookmarkEnd w:id="910"/>
      <w:bookmarkStart w:id="911" w:name="_Toc152045673"/>
      <w:bookmarkEnd w:id="911"/>
      <w:bookmarkStart w:id="912" w:name="_Toc22367"/>
      <w:bookmarkEnd w:id="912"/>
      <w:bookmarkStart w:id="913" w:name="_Toc18798"/>
      <w:bookmarkEnd w:id="913"/>
      <w:bookmarkStart w:id="914" w:name="_Toc282779027"/>
      <w:bookmarkEnd w:id="914"/>
      <w:bookmarkStart w:id="915" w:name="_Toc12809"/>
      <w:r>
        <w:rPr>
          <w:rFonts w:hint="eastAsia" w:ascii="宋体" w:hAnsi="宋体" w:eastAsia="宋体" w:cs="宋体"/>
          <w:color w:val="000000"/>
          <w:kern w:val="2"/>
          <w:sz w:val="21"/>
          <w:szCs w:val="21"/>
          <w:lang w:val="en-US" w:eastAsia="zh-CN" w:bidi="ar"/>
        </w:rPr>
        <w:t>9．施工安全、治安保卫和环境保护</w:t>
      </w:r>
      <w:bookmarkEnd w:id="915"/>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16" w:name="_Toc179632692"/>
      <w:bookmarkEnd w:id="916"/>
      <w:bookmarkStart w:id="917" w:name="_Toc282787475"/>
      <w:bookmarkEnd w:id="917"/>
      <w:bookmarkStart w:id="918" w:name="_Toc152042452"/>
      <w:bookmarkEnd w:id="918"/>
      <w:bookmarkStart w:id="919" w:name="_Toc152045674"/>
      <w:bookmarkEnd w:id="919"/>
      <w:bookmarkStart w:id="920" w:name="_Toc237923853"/>
      <w:bookmarkEnd w:id="920"/>
      <w:bookmarkStart w:id="921" w:name="_Toc144974642"/>
      <w:bookmarkEnd w:id="921"/>
      <w:bookmarkStart w:id="922" w:name="_Toc283794225"/>
      <w:bookmarkEnd w:id="922"/>
      <w:bookmarkStart w:id="923" w:name="_Toc287853377"/>
      <w:bookmarkEnd w:id="923"/>
      <w:bookmarkStart w:id="924" w:name="_Toc282779028"/>
      <w:bookmarkEnd w:id="924"/>
      <w:bookmarkStart w:id="925" w:name="_Toc288491553"/>
      <w:bookmarkEnd w:id="925"/>
      <w:bookmarkStart w:id="926" w:name="_Toc282779537"/>
      <w:r>
        <w:rPr>
          <w:rFonts w:hint="eastAsia" w:ascii="宋体" w:hAnsi="宋体" w:eastAsia="宋体" w:cs="宋体"/>
          <w:color w:val="000000"/>
          <w:kern w:val="2"/>
          <w:sz w:val="21"/>
          <w:szCs w:val="21"/>
          <w:lang w:val="en-US" w:eastAsia="zh-CN" w:bidi="ar"/>
        </w:rPr>
        <w:t>9.1  发包人的施工安全责任</w:t>
      </w:r>
      <w:bookmarkEnd w:id="92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9.1.1  发包人应按合同约定履行安全职责，授权监理人按合同约定的安全工作内容监督、检查承包人安全工作的实施，组织承包人和有关单位进行安全检查。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9.1.2  发包人应对其现场机构雇佣的全部人员的工伤事故承担责任，但由于承包人原因造成发包人人员工伤的，应由承包人承担责任。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9.1.3  发包人应负责赔偿以下各种情况造成的第三者人身伤亡和财产损失：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（1）工程或工程的任何部分对土地的占用所造成的第三者财产损失；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（2）由于发包人原因在施工场地及其毗邻地带造成的第三者人身伤亡和财产损失。</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27" w:name="_Toc237923854"/>
      <w:bookmarkEnd w:id="927"/>
      <w:bookmarkStart w:id="928" w:name="_Toc287853378"/>
      <w:bookmarkEnd w:id="928"/>
      <w:bookmarkStart w:id="929" w:name="_Toc282779538"/>
      <w:bookmarkEnd w:id="929"/>
      <w:bookmarkStart w:id="930" w:name="_Toc144974643"/>
      <w:bookmarkEnd w:id="930"/>
      <w:bookmarkStart w:id="931" w:name="_Toc288491554"/>
      <w:bookmarkEnd w:id="931"/>
      <w:bookmarkStart w:id="932" w:name="_Toc179632693"/>
      <w:bookmarkEnd w:id="932"/>
      <w:bookmarkStart w:id="933" w:name="_Toc152042453"/>
      <w:bookmarkEnd w:id="933"/>
      <w:bookmarkStart w:id="934" w:name="_Toc282779029"/>
      <w:bookmarkEnd w:id="934"/>
      <w:bookmarkStart w:id="935" w:name="_Toc283794226"/>
      <w:bookmarkEnd w:id="935"/>
      <w:bookmarkStart w:id="936" w:name="_Toc282787476"/>
      <w:bookmarkEnd w:id="936"/>
      <w:bookmarkStart w:id="937" w:name="_Toc152045675"/>
      <w:r>
        <w:rPr>
          <w:rFonts w:hint="eastAsia" w:ascii="宋体" w:hAnsi="宋体" w:eastAsia="宋体" w:cs="宋体"/>
          <w:color w:val="000000"/>
          <w:kern w:val="2"/>
          <w:sz w:val="21"/>
          <w:szCs w:val="21"/>
          <w:lang w:val="en-US" w:eastAsia="zh-CN" w:bidi="ar"/>
        </w:rPr>
        <w:t>9.2  承包人的施工安全责任</w:t>
      </w:r>
      <w:bookmarkEnd w:id="93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9.2.1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危险性较大的工程应编制专项养护施工方案，并附安全验算结果，经承包人项目总工签字并报监理人和发包人批准后实施，由专职安全生产管理人员进行现场监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监理人和发包人在检查中发现有安全问题或有违反安全管理规章制度的情况时，可视为承包人违约，应按第22.1款的规定办理。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9.2.2  承包人应加强施工作业安全管理，特别应加强易燃、易爆材料、火工器材、有毒与腐蚀性材料和其他危险品的管理，以及对爆破作业和地下工程施工等危险作业的管理。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9.2.3  承包人应严格按照国家安全标准制定施工安全操作规程，配备必要的安全生产和劳动保护设施，加强对承包人人员的安全教育，并发放安全工作手册和劳动保护用具。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9.2.4  承包人应按监理人的指示制定应对灾害的紧急预案，报送监理人审批。承包人还应按预案做好安全检查，配置必要的救助物资和器材，切实保护好有关人员的人身和财产安全。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9.2.5  除项目专用合同条款另有约定外，安全生产费用应为投标价（不含安全生产费及建筑工程一切险及第三者责任险的保险费）的1%。安全生产费用应用于施工安全防护用具及设施的采购和更新、安全施工措施的落实、安全生产条件的改善，不得挪作它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9.2.6  承包人应对其履行合同所雇佣的全部人员，包括分包人人员的工伤事故承担责任，但由于发包人原因造成承包人人员工伤事故的，应由发包人承担责任。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9.2.7  由于承包人原因在施工场地内及其毗邻地带造成的第三者人员伤亡和财产损失，由承包人负责赔偿。</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9.2.8  在通航水域施工时，承包人应与当地主管部门取得联系，设置必要的导航标志，及时发布航行通告，确保施工水域安全。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9.2.9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38" w:name="_Toc237923855"/>
      <w:bookmarkEnd w:id="938"/>
      <w:bookmarkStart w:id="939" w:name="_Toc282787477"/>
      <w:bookmarkEnd w:id="939"/>
      <w:bookmarkStart w:id="940" w:name="_Toc288491555"/>
      <w:bookmarkEnd w:id="940"/>
      <w:bookmarkStart w:id="941" w:name="_Toc282779539"/>
      <w:bookmarkEnd w:id="941"/>
      <w:bookmarkStart w:id="942" w:name="_Toc283794227"/>
      <w:bookmarkEnd w:id="942"/>
      <w:bookmarkStart w:id="943" w:name="_Toc287853379"/>
      <w:bookmarkEnd w:id="943"/>
      <w:bookmarkStart w:id="944" w:name="_Toc282779030"/>
      <w:bookmarkEnd w:id="944"/>
      <w:bookmarkStart w:id="945" w:name="_Toc179632694"/>
      <w:bookmarkEnd w:id="945"/>
      <w:bookmarkStart w:id="946" w:name="_Toc144974644"/>
      <w:bookmarkEnd w:id="946"/>
      <w:bookmarkStart w:id="947" w:name="_Toc152042454"/>
      <w:bookmarkEnd w:id="947"/>
      <w:bookmarkStart w:id="948" w:name="_Toc152045676"/>
      <w:r>
        <w:rPr>
          <w:rFonts w:hint="eastAsia" w:ascii="宋体" w:hAnsi="宋体" w:eastAsia="宋体" w:cs="宋体"/>
          <w:color w:val="000000"/>
          <w:kern w:val="2"/>
          <w:sz w:val="21"/>
          <w:szCs w:val="21"/>
          <w:lang w:val="en-US" w:eastAsia="zh-CN" w:bidi="ar"/>
        </w:rPr>
        <w:t>9.3  治安保卫</w:t>
      </w:r>
      <w:bookmarkEnd w:id="94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9.3.1  除合同另有约定外，发包人应与当地公安部门协商，在现场建立治安管理机构或联防组织，统一管理施工场地的治安保卫事项，履行合同工程的治安保卫职责。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9.3.2  发包人和承包人除应协助现场治安管理机构或联防组织维护施工场地的社会治安外，还应做好包括生活区在内的各自管辖区的治安保卫工作。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49" w:name="_Toc283794228"/>
      <w:bookmarkEnd w:id="949"/>
      <w:bookmarkStart w:id="950" w:name="_Toc282779540"/>
      <w:bookmarkEnd w:id="950"/>
      <w:bookmarkStart w:id="951" w:name="_Toc282779031"/>
      <w:bookmarkEnd w:id="951"/>
      <w:bookmarkStart w:id="952" w:name="_Toc179632695"/>
      <w:bookmarkEnd w:id="952"/>
      <w:bookmarkStart w:id="953" w:name="_Toc237923856"/>
      <w:bookmarkEnd w:id="953"/>
      <w:bookmarkStart w:id="954" w:name="_Toc152045677"/>
      <w:bookmarkEnd w:id="954"/>
      <w:bookmarkStart w:id="955" w:name="_Toc144974645"/>
      <w:bookmarkEnd w:id="955"/>
      <w:bookmarkStart w:id="956" w:name="_Toc287853380"/>
      <w:bookmarkEnd w:id="956"/>
      <w:bookmarkStart w:id="957" w:name="_Toc152042455"/>
      <w:bookmarkEnd w:id="957"/>
      <w:bookmarkStart w:id="958" w:name="_Toc288491556"/>
      <w:bookmarkEnd w:id="958"/>
      <w:bookmarkStart w:id="959" w:name="_Toc282787478"/>
      <w:r>
        <w:rPr>
          <w:rFonts w:hint="eastAsia" w:ascii="宋体" w:hAnsi="宋体" w:eastAsia="宋体" w:cs="宋体"/>
          <w:color w:val="000000"/>
          <w:kern w:val="2"/>
          <w:sz w:val="21"/>
          <w:szCs w:val="21"/>
          <w:lang w:val="en-US" w:eastAsia="zh-CN" w:bidi="ar"/>
        </w:rPr>
        <w:t>9.4  环境保护</w:t>
      </w:r>
      <w:bookmarkEnd w:id="95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9.4.1  承包人在施工过程中，应遵守有关环境保护的法律，履行合同约定的环境保护义务，并对违反法律和合同约定义务所造成的环境破坏、人身伤害和财产损失负责。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9.4.2  承包人应按合同约定的环保工作内容，编制施工环保措施计划，报送监理人审批。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9.4.4  承包人应按合同约定采取有效措施，对施工开挖的边坡及时进行支护,维护排水设施，并进行水土保护，避免因施工造成的地质灾害。</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9.4.5  承包人应按国家饮用水管理标准定期对饮用水源进行监测，防止施工活动污染饮用水源。</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9.4.6  承包人应按合同约定，加强对噪声、粉尘、废气、废水和废油的控制，努力降低噪声，控制粉尘和废气浓度，做好废水和废油的治理和排放。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9.4.7  承包人应切实执行技术规范中有关环境保护方面的条款和规定。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对于来自养护工程实施时的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（2）对于养护施工中粉尘的主要污染源——灰土拌和、施工车辆和筑路机械运行及运输产生的扬尘，应采取有效措施减轻其对施工现场的大气污染，保护人民健康，如：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a．拌和设备应有较好的密封，或有防尘设备。</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b．施工通道、沥青混凝土拌和站及灰土拌和站应经常进行洒水降尘。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c．路面施工应注意保持水分，以免扬尘。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（3）采取可靠措施保证原有交通的正常通行，维持沿线村镇的居民饮水、农田灌溉、生产生活用电及通信等管线的正常使用。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9.4.8  在养护工程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9.4.9  在养护工程施工期间，承包人应随时保持现场整洁，施工设备和材料、工程设备应整齐妥善存放和储存，废料与垃圾及不再需要的临时设施应及时从现场清除、拆除运走。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9.4.10  承包人应严格按照国家有关法规要求，做好施工过程中的生态保护和水土保持工作。施工中要尽可能减少对原地面的扰动，减少对地面草木的破坏，需要爆破作业的，应按规定进行控爆设计。雨季填筑路基应随挖、随填、随压，要完善施工中的临时排水系统，加强施工便道的管理。取（弃）土场必须先挡后弃，严禁在指定的取（弃）土场以外的地方乱挖乱弃。</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60" w:name="_Toc152045678"/>
      <w:bookmarkEnd w:id="960"/>
      <w:bookmarkStart w:id="961" w:name="_Toc179632696"/>
      <w:bookmarkEnd w:id="961"/>
      <w:bookmarkStart w:id="962" w:name="_Toc282787479"/>
      <w:bookmarkEnd w:id="962"/>
      <w:bookmarkStart w:id="963" w:name="_Toc283794229"/>
      <w:bookmarkEnd w:id="963"/>
      <w:bookmarkStart w:id="964" w:name="_Toc282779541"/>
      <w:bookmarkEnd w:id="964"/>
      <w:bookmarkStart w:id="965" w:name="_Toc237923857"/>
      <w:bookmarkEnd w:id="965"/>
      <w:bookmarkStart w:id="966" w:name="_Toc288491557"/>
      <w:bookmarkEnd w:id="966"/>
      <w:bookmarkStart w:id="967" w:name="_Toc144974646"/>
      <w:bookmarkEnd w:id="967"/>
      <w:bookmarkStart w:id="968" w:name="_Toc287853381"/>
      <w:bookmarkEnd w:id="968"/>
      <w:bookmarkStart w:id="969" w:name="_Toc152042456"/>
      <w:bookmarkEnd w:id="969"/>
      <w:bookmarkStart w:id="970" w:name="_Toc282779032"/>
      <w:r>
        <w:rPr>
          <w:rFonts w:hint="eastAsia" w:ascii="宋体" w:hAnsi="宋体" w:eastAsia="宋体" w:cs="宋体"/>
          <w:color w:val="000000"/>
          <w:kern w:val="2"/>
          <w:sz w:val="21"/>
          <w:szCs w:val="21"/>
          <w:lang w:val="en-US" w:eastAsia="zh-CN" w:bidi="ar"/>
        </w:rPr>
        <w:t>9.5  事故处理</w:t>
      </w:r>
      <w:bookmarkEnd w:id="97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971" w:name="_Toc144974647"/>
      <w:bookmarkEnd w:id="971"/>
      <w:bookmarkStart w:id="972" w:name="_Toc179632697"/>
      <w:bookmarkEnd w:id="972"/>
      <w:bookmarkStart w:id="973" w:name="_Toc14253"/>
      <w:bookmarkEnd w:id="973"/>
      <w:bookmarkStart w:id="974" w:name="_Toc6898"/>
      <w:bookmarkEnd w:id="974"/>
      <w:bookmarkStart w:id="975" w:name="_Toc287853382"/>
      <w:bookmarkEnd w:id="975"/>
      <w:bookmarkStart w:id="976" w:name="_Toc31820"/>
      <w:bookmarkEnd w:id="976"/>
      <w:bookmarkStart w:id="977" w:name="_Toc118378081"/>
      <w:bookmarkEnd w:id="977"/>
      <w:bookmarkStart w:id="978" w:name="_Toc288491558"/>
      <w:bookmarkEnd w:id="978"/>
      <w:bookmarkStart w:id="979" w:name="_Toc282779542"/>
      <w:bookmarkEnd w:id="979"/>
      <w:bookmarkStart w:id="980" w:name="_Toc20921"/>
      <w:bookmarkEnd w:id="980"/>
      <w:bookmarkStart w:id="981" w:name="_Toc30427"/>
      <w:bookmarkEnd w:id="981"/>
      <w:bookmarkStart w:id="982" w:name="_Toc15671"/>
      <w:bookmarkEnd w:id="982"/>
      <w:bookmarkStart w:id="983" w:name="_Toc5025"/>
      <w:bookmarkEnd w:id="983"/>
      <w:bookmarkStart w:id="984" w:name="_Toc282787480"/>
      <w:bookmarkEnd w:id="984"/>
      <w:bookmarkStart w:id="985" w:name="_Toc514936610"/>
      <w:bookmarkEnd w:id="985"/>
      <w:bookmarkStart w:id="986" w:name="_Toc152042457"/>
      <w:bookmarkEnd w:id="986"/>
      <w:bookmarkStart w:id="987" w:name="_Toc4976"/>
      <w:bookmarkEnd w:id="987"/>
      <w:bookmarkStart w:id="988" w:name="_Toc283794230"/>
      <w:bookmarkEnd w:id="988"/>
      <w:bookmarkStart w:id="989" w:name="_Toc29894"/>
      <w:bookmarkEnd w:id="989"/>
      <w:bookmarkStart w:id="990" w:name="_Toc237923858"/>
      <w:bookmarkEnd w:id="990"/>
      <w:bookmarkStart w:id="991" w:name="_Toc152045679"/>
      <w:bookmarkEnd w:id="991"/>
      <w:bookmarkStart w:id="992" w:name="_Toc7038"/>
      <w:bookmarkEnd w:id="992"/>
      <w:bookmarkStart w:id="993" w:name="_Toc282779033"/>
      <w:bookmarkEnd w:id="993"/>
      <w:bookmarkStart w:id="994" w:name="_Toc23816"/>
      <w:bookmarkEnd w:id="994"/>
      <w:bookmarkStart w:id="995" w:name="_Toc8061"/>
      <w:bookmarkEnd w:id="995"/>
      <w:bookmarkStart w:id="996" w:name="_Toc22592"/>
      <w:r>
        <w:rPr>
          <w:rFonts w:hint="eastAsia" w:ascii="宋体" w:hAnsi="宋体" w:eastAsia="宋体" w:cs="宋体"/>
          <w:color w:val="000000"/>
          <w:kern w:val="2"/>
          <w:sz w:val="21"/>
          <w:szCs w:val="21"/>
          <w:lang w:val="en-US" w:eastAsia="zh-CN" w:bidi="ar"/>
        </w:rPr>
        <w:t>10．进度计划</w:t>
      </w:r>
      <w:bookmarkEnd w:id="996"/>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997" w:name="_Toc144974648"/>
      <w:bookmarkEnd w:id="997"/>
      <w:bookmarkStart w:id="998" w:name="_Toc283794231"/>
      <w:bookmarkEnd w:id="998"/>
      <w:bookmarkStart w:id="999" w:name="_Toc152045680"/>
      <w:bookmarkEnd w:id="999"/>
      <w:bookmarkStart w:id="1000" w:name="_Toc237923859"/>
      <w:bookmarkEnd w:id="1000"/>
      <w:bookmarkStart w:id="1001" w:name="_Toc282787481"/>
      <w:bookmarkEnd w:id="1001"/>
      <w:bookmarkStart w:id="1002" w:name="_Toc288491559"/>
      <w:bookmarkEnd w:id="1002"/>
      <w:bookmarkStart w:id="1003" w:name="_Toc152042458"/>
      <w:bookmarkEnd w:id="1003"/>
      <w:bookmarkStart w:id="1004" w:name="_Toc282779034"/>
      <w:bookmarkEnd w:id="1004"/>
      <w:bookmarkStart w:id="1005" w:name="_Toc287853383"/>
      <w:bookmarkEnd w:id="1005"/>
      <w:bookmarkStart w:id="1006" w:name="_Toc179632698"/>
      <w:bookmarkEnd w:id="1006"/>
      <w:bookmarkStart w:id="1007" w:name="_Toc282779543"/>
      <w:r>
        <w:rPr>
          <w:rFonts w:hint="eastAsia" w:ascii="宋体" w:hAnsi="宋体" w:eastAsia="宋体" w:cs="宋体"/>
          <w:color w:val="000000"/>
          <w:kern w:val="2"/>
          <w:sz w:val="21"/>
          <w:szCs w:val="21"/>
          <w:lang w:val="en-US" w:eastAsia="zh-CN" w:bidi="ar"/>
        </w:rPr>
        <w:t>10.1  合同进度计划</w:t>
      </w:r>
      <w:bookmarkEnd w:id="100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签订合同协议书后21天之内，向监理人提交2份其格式和内容符合监理人规定的养护工程施工计划，以及为完成该计划而建议采用的工作安排和施工方案说明。监理人应在收到该计划后的14天内审查同意或提出修改意见。</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008" w:name="_Toc282779035"/>
      <w:bookmarkEnd w:id="1008"/>
      <w:bookmarkStart w:id="1009" w:name="_Toc237923860"/>
      <w:bookmarkEnd w:id="1009"/>
      <w:bookmarkStart w:id="1010" w:name="_Toc152042459"/>
      <w:bookmarkEnd w:id="1010"/>
      <w:bookmarkStart w:id="1011" w:name="_Toc287853384"/>
      <w:bookmarkEnd w:id="1011"/>
      <w:bookmarkStart w:id="1012" w:name="_Toc282779544"/>
      <w:bookmarkEnd w:id="1012"/>
      <w:bookmarkStart w:id="1013" w:name="_Toc152045681"/>
      <w:bookmarkEnd w:id="1013"/>
      <w:bookmarkStart w:id="1014" w:name="_Toc283794232"/>
      <w:bookmarkEnd w:id="1014"/>
      <w:bookmarkStart w:id="1015" w:name="_Toc288491560"/>
      <w:bookmarkEnd w:id="1015"/>
      <w:bookmarkStart w:id="1016" w:name="_Toc282787482"/>
      <w:bookmarkEnd w:id="1016"/>
      <w:bookmarkStart w:id="1017" w:name="_Toc179632699"/>
      <w:bookmarkEnd w:id="1017"/>
      <w:bookmarkStart w:id="1018" w:name="_Toc144974649"/>
      <w:r>
        <w:rPr>
          <w:rFonts w:hint="eastAsia" w:ascii="宋体" w:hAnsi="宋体" w:eastAsia="宋体" w:cs="宋体"/>
          <w:color w:val="000000"/>
          <w:kern w:val="2"/>
          <w:sz w:val="21"/>
          <w:szCs w:val="21"/>
          <w:lang w:val="en-US" w:eastAsia="zh-CN" w:bidi="ar"/>
        </w:rPr>
        <w:t>10.2  合同进度计划的修订</w:t>
      </w:r>
      <w:bookmarkEnd w:id="101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019" w:name="_Toc282779036"/>
      <w:bookmarkEnd w:id="1019"/>
      <w:bookmarkStart w:id="1020" w:name="_Toc28643"/>
      <w:bookmarkEnd w:id="1020"/>
      <w:bookmarkStart w:id="1021" w:name="_Toc282787483"/>
      <w:bookmarkEnd w:id="1021"/>
      <w:bookmarkStart w:id="1022" w:name="_Toc152042460"/>
      <w:bookmarkEnd w:id="1022"/>
      <w:bookmarkStart w:id="1023" w:name="_Toc283794233"/>
      <w:bookmarkEnd w:id="1023"/>
      <w:bookmarkStart w:id="1024" w:name="_Toc288491561"/>
      <w:bookmarkEnd w:id="1024"/>
      <w:bookmarkStart w:id="1025" w:name="_Toc179632700"/>
      <w:bookmarkEnd w:id="1025"/>
      <w:bookmarkStart w:id="1026" w:name="_Toc17963"/>
      <w:bookmarkEnd w:id="1026"/>
      <w:bookmarkStart w:id="1027" w:name="_Toc12175"/>
      <w:bookmarkEnd w:id="1027"/>
      <w:bookmarkStart w:id="1028" w:name="_Toc14146"/>
      <w:bookmarkEnd w:id="1028"/>
      <w:bookmarkStart w:id="1029" w:name="_Toc287853385"/>
      <w:bookmarkEnd w:id="1029"/>
      <w:bookmarkStart w:id="1030" w:name="_Toc282779545"/>
      <w:bookmarkEnd w:id="1030"/>
      <w:bookmarkStart w:id="1031" w:name="_Toc26482"/>
      <w:bookmarkEnd w:id="1031"/>
      <w:bookmarkStart w:id="1032" w:name="_Toc144974650"/>
      <w:bookmarkEnd w:id="1032"/>
      <w:bookmarkStart w:id="1033" w:name="_Toc118378082"/>
      <w:bookmarkEnd w:id="1033"/>
      <w:bookmarkStart w:id="1034" w:name="_Toc5523"/>
      <w:bookmarkEnd w:id="1034"/>
      <w:bookmarkStart w:id="1035" w:name="_Toc13074"/>
      <w:bookmarkEnd w:id="1035"/>
      <w:bookmarkStart w:id="1036" w:name="_Toc12773"/>
      <w:bookmarkEnd w:id="1036"/>
      <w:bookmarkStart w:id="1037" w:name="_Toc30411"/>
      <w:bookmarkEnd w:id="1037"/>
      <w:bookmarkStart w:id="1038" w:name="_Toc4707"/>
      <w:bookmarkEnd w:id="1038"/>
      <w:bookmarkStart w:id="1039" w:name="_Toc29788"/>
      <w:bookmarkEnd w:id="1039"/>
      <w:bookmarkStart w:id="1040" w:name="_Toc152045682"/>
      <w:bookmarkEnd w:id="1040"/>
      <w:bookmarkStart w:id="1041" w:name="_Toc5961"/>
      <w:bookmarkEnd w:id="1041"/>
      <w:bookmarkStart w:id="1042" w:name="_Toc237923861"/>
      <w:bookmarkEnd w:id="1042"/>
      <w:bookmarkStart w:id="1043" w:name="_Toc514936611"/>
      <w:bookmarkEnd w:id="1043"/>
      <w:bookmarkStart w:id="1044" w:name="_Toc23509"/>
      <w:r>
        <w:rPr>
          <w:rFonts w:hint="eastAsia" w:ascii="宋体" w:hAnsi="宋体" w:eastAsia="宋体" w:cs="宋体"/>
          <w:color w:val="000000"/>
          <w:kern w:val="2"/>
          <w:sz w:val="21"/>
          <w:szCs w:val="21"/>
          <w:lang w:val="en-US" w:eastAsia="zh-CN" w:bidi="ar"/>
        </w:rPr>
        <w:t>11. 开工和交工</w:t>
      </w:r>
      <w:bookmarkEnd w:id="104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045" w:name="_Toc237923862"/>
      <w:bookmarkEnd w:id="1045"/>
      <w:bookmarkStart w:id="1046" w:name="_Toc152042461"/>
      <w:bookmarkEnd w:id="1046"/>
      <w:bookmarkStart w:id="1047" w:name="_Toc283794234"/>
      <w:bookmarkEnd w:id="1047"/>
      <w:bookmarkStart w:id="1048" w:name="_Toc288491562"/>
      <w:bookmarkEnd w:id="1048"/>
      <w:bookmarkStart w:id="1049" w:name="_Toc282779037"/>
      <w:bookmarkEnd w:id="1049"/>
      <w:bookmarkStart w:id="1050" w:name="_Toc282787484"/>
      <w:bookmarkEnd w:id="1050"/>
      <w:bookmarkStart w:id="1051" w:name="_Toc144974651"/>
      <w:bookmarkEnd w:id="1051"/>
      <w:bookmarkStart w:id="1052" w:name="_Toc152045683"/>
      <w:bookmarkEnd w:id="1052"/>
      <w:bookmarkStart w:id="1053" w:name="_Toc287853386"/>
      <w:bookmarkEnd w:id="1053"/>
      <w:bookmarkStart w:id="1054" w:name="_Toc179632701"/>
      <w:bookmarkEnd w:id="1054"/>
      <w:bookmarkStart w:id="1055" w:name="_Toc282779546"/>
      <w:r>
        <w:rPr>
          <w:rFonts w:hint="eastAsia" w:ascii="宋体" w:hAnsi="宋体" w:eastAsia="宋体" w:cs="宋体"/>
          <w:color w:val="000000"/>
          <w:kern w:val="2"/>
          <w:sz w:val="21"/>
          <w:szCs w:val="21"/>
          <w:lang w:val="en-US" w:eastAsia="zh-CN" w:bidi="ar"/>
        </w:rPr>
        <w:t>11.1  开工</w:t>
      </w:r>
      <w:bookmarkEnd w:id="105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11.1.1  监理人应在开工日期7天前向承包人发出开工通知。监理人在发出开工通知前应获得发包人同意。工期自监理人发出的开工通知中载明的开工日期起计算。承包人应在开工日期后尽快施工。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shd w:val="clear" w:fill="7F7F7F"/>
        </w:rPr>
      </w:pPr>
      <w:r>
        <w:rPr>
          <w:rFonts w:hint="eastAsia" w:ascii="宋体" w:hAnsi="宋体" w:eastAsia="宋体" w:cs="宋体"/>
          <w:color w:val="000000"/>
          <w:kern w:val="2"/>
          <w:sz w:val="21"/>
          <w:szCs w:val="21"/>
          <w:lang w:val="en-US" w:eastAsia="zh-CN" w:bidi="ar"/>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监理人将在投标书附录的期限内发布进驻通知令，承包人应在投标书附录规定期限内进驻。</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056" w:name="_Toc287853387"/>
      <w:bookmarkEnd w:id="1056"/>
      <w:bookmarkStart w:id="1057" w:name="_Toc282779547"/>
      <w:bookmarkEnd w:id="1057"/>
      <w:bookmarkStart w:id="1058" w:name="_Toc152042462"/>
      <w:bookmarkEnd w:id="1058"/>
      <w:bookmarkStart w:id="1059" w:name="_Toc179632702"/>
      <w:bookmarkEnd w:id="1059"/>
      <w:bookmarkStart w:id="1060" w:name="_Toc237923863"/>
      <w:bookmarkEnd w:id="1060"/>
      <w:bookmarkStart w:id="1061" w:name="_Toc283794235"/>
      <w:bookmarkEnd w:id="1061"/>
      <w:bookmarkStart w:id="1062" w:name="_Toc152045684"/>
      <w:bookmarkEnd w:id="1062"/>
      <w:bookmarkStart w:id="1063" w:name="_Toc282779038"/>
      <w:bookmarkEnd w:id="1063"/>
      <w:bookmarkStart w:id="1064" w:name="_Toc144974652"/>
      <w:bookmarkEnd w:id="1064"/>
      <w:bookmarkStart w:id="1065" w:name="_Toc282787485"/>
      <w:bookmarkEnd w:id="1065"/>
      <w:bookmarkStart w:id="1066" w:name="_Toc288491563"/>
      <w:r>
        <w:rPr>
          <w:rFonts w:hint="eastAsia" w:ascii="宋体" w:hAnsi="宋体" w:eastAsia="宋体" w:cs="宋体"/>
          <w:color w:val="000000"/>
          <w:kern w:val="2"/>
          <w:sz w:val="21"/>
          <w:szCs w:val="21"/>
          <w:lang w:val="en-US" w:eastAsia="zh-CN" w:bidi="ar"/>
        </w:rPr>
        <w:t>11.2  交工</w:t>
      </w:r>
      <w:bookmarkEnd w:id="106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承包人应在第1.1.4.3目约定的期限内完成合同工程。实际交工日期在接收证书中写明。</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067" w:name="_Toc282779039"/>
      <w:bookmarkEnd w:id="1067"/>
      <w:bookmarkStart w:id="1068" w:name="_Toc144974653"/>
      <w:bookmarkEnd w:id="1068"/>
      <w:bookmarkStart w:id="1069" w:name="_Toc179632703"/>
      <w:bookmarkEnd w:id="1069"/>
      <w:bookmarkStart w:id="1070" w:name="_Toc283794236"/>
      <w:bookmarkEnd w:id="1070"/>
      <w:bookmarkStart w:id="1071" w:name="_Toc282787486"/>
      <w:bookmarkEnd w:id="1071"/>
      <w:bookmarkStart w:id="1072" w:name="_Toc237923864"/>
      <w:bookmarkEnd w:id="1072"/>
      <w:bookmarkStart w:id="1073" w:name="_Toc152042463"/>
      <w:bookmarkEnd w:id="1073"/>
      <w:bookmarkStart w:id="1074" w:name="_Toc287853388"/>
      <w:bookmarkEnd w:id="1074"/>
      <w:bookmarkStart w:id="1075" w:name="_Toc288491564"/>
      <w:bookmarkEnd w:id="1075"/>
      <w:bookmarkStart w:id="1076" w:name="_Toc152045685"/>
      <w:bookmarkEnd w:id="1076"/>
      <w:bookmarkStart w:id="1077" w:name="_Toc282779548"/>
      <w:r>
        <w:rPr>
          <w:rFonts w:hint="eastAsia" w:ascii="宋体" w:hAnsi="宋体" w:eastAsia="宋体" w:cs="宋体"/>
          <w:color w:val="000000"/>
          <w:kern w:val="2"/>
          <w:sz w:val="21"/>
          <w:szCs w:val="21"/>
          <w:lang w:val="en-US" w:eastAsia="zh-CN" w:bidi="ar"/>
        </w:rPr>
        <w:t>11.3  发包人的工期延误</w:t>
      </w:r>
      <w:bookmarkEnd w:id="107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在履行合同过程中，由于发包人的下列原因造成工期延误的，承包人有权要求发包人延长工期和（或）增加费用，并支付合理利润。需要修订合同进度计划的，按照第10.2款的约定办理。</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（1）增加合同工作内容；</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（2）改变合同中任何一项工作的质量要求或其他特性；</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（3）发包人迟延提供材料、工程设备或变更交货地点的；</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（4）因发包人原因导致的暂停施工；</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（5）提供图纸延误；</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（6）未按合同约定及时支付预付款、进度款；</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（7）发包人造成工期延误的其他原因。</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078" w:name="_Toc282779040"/>
      <w:bookmarkEnd w:id="1078"/>
      <w:bookmarkStart w:id="1079" w:name="_Toc288491565"/>
      <w:bookmarkEnd w:id="1079"/>
      <w:bookmarkStart w:id="1080" w:name="_Toc152045686"/>
      <w:bookmarkEnd w:id="1080"/>
      <w:bookmarkStart w:id="1081" w:name="_Toc152042464"/>
      <w:bookmarkEnd w:id="1081"/>
      <w:bookmarkStart w:id="1082" w:name="_Toc287853389"/>
      <w:bookmarkEnd w:id="1082"/>
      <w:bookmarkStart w:id="1083" w:name="_Toc282787487"/>
      <w:bookmarkEnd w:id="1083"/>
      <w:bookmarkStart w:id="1084" w:name="_Toc283794237"/>
      <w:bookmarkEnd w:id="1084"/>
      <w:bookmarkStart w:id="1085" w:name="_Toc179632704"/>
      <w:bookmarkEnd w:id="1085"/>
      <w:bookmarkStart w:id="1086" w:name="_Toc237923865"/>
      <w:bookmarkEnd w:id="1086"/>
      <w:bookmarkStart w:id="1087" w:name="_Toc144974654"/>
      <w:bookmarkEnd w:id="1087"/>
      <w:bookmarkStart w:id="1088" w:name="_Toc282779549"/>
      <w:r>
        <w:rPr>
          <w:rFonts w:hint="eastAsia" w:ascii="宋体" w:hAnsi="宋体" w:eastAsia="宋体" w:cs="宋体"/>
          <w:color w:val="000000"/>
          <w:kern w:val="2"/>
          <w:sz w:val="21"/>
          <w:szCs w:val="21"/>
          <w:lang w:val="en-US" w:eastAsia="zh-CN" w:bidi="ar"/>
        </w:rPr>
        <w:t>11.4  异常恶劣的气候条件</w:t>
      </w:r>
      <w:bookmarkEnd w:id="1088"/>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由于出现专用合同条款规定的异常恶劣气候的条件导致工期延误的，承包人有权要求发包人延长工期。</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kern w:val="2"/>
          <w:sz w:val="21"/>
          <w:szCs w:val="21"/>
        </w:rPr>
      </w:pPr>
      <w:bookmarkStart w:id="1089" w:name="_Toc144974655"/>
      <w:bookmarkEnd w:id="1089"/>
      <w:bookmarkStart w:id="1090" w:name="_Toc237923866"/>
      <w:bookmarkEnd w:id="1090"/>
      <w:bookmarkStart w:id="1091" w:name="_Toc282779550"/>
      <w:bookmarkEnd w:id="1091"/>
      <w:bookmarkStart w:id="1092" w:name="_Toc179632705"/>
      <w:bookmarkEnd w:id="1092"/>
      <w:bookmarkStart w:id="1093" w:name="_Toc282787488"/>
      <w:bookmarkEnd w:id="1093"/>
      <w:bookmarkStart w:id="1094" w:name="_Toc282779041"/>
      <w:bookmarkEnd w:id="1094"/>
      <w:bookmarkStart w:id="1095" w:name="_Toc152042465"/>
      <w:bookmarkEnd w:id="1095"/>
      <w:bookmarkStart w:id="1096" w:name="_Toc287853390"/>
      <w:bookmarkEnd w:id="1096"/>
      <w:bookmarkStart w:id="1097" w:name="_Toc152045687"/>
      <w:bookmarkEnd w:id="1097"/>
      <w:bookmarkStart w:id="1098" w:name="_Toc283794238"/>
      <w:bookmarkEnd w:id="1098"/>
      <w:bookmarkStart w:id="1099" w:name="_Toc288491566"/>
      <w:r>
        <w:rPr>
          <w:rFonts w:hint="eastAsia" w:ascii="宋体" w:hAnsi="宋体" w:eastAsia="宋体" w:cs="宋体"/>
          <w:kern w:val="2"/>
          <w:sz w:val="21"/>
          <w:szCs w:val="21"/>
          <w:lang w:val="en-US" w:eastAsia="zh-CN" w:bidi="ar"/>
        </w:rPr>
        <w:t>11.5  承包人的工期延误</w:t>
      </w:r>
      <w:bookmarkEnd w:id="109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由于承包人原因，未能按合同进度计划完成工作，或监理人认为承包人施工进度不能满足合同工期要求的，承包人应采取措施加快进度，并承担加快进度所增加的费用。由于承包人原因造成工期延误，承包人应支付逾期交工违约金。逾期交工违约金的日期计算，自预定的交工日期起到养护工程合同的工程交工证书中写明的交工日期或已批准的延长工期止，按天计算。逾期交工违约金应不超过在投标书附录中写明的限额。发包人可以从应付或到期应付给承包人的任何款项中扣除此违约金，不排除采用其他扣款方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承包人支付逾期交工违约金，不免除承包人完成工程及修补缺陷的义务。</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00" w:name="_Toc288491567"/>
      <w:bookmarkEnd w:id="1100"/>
      <w:bookmarkStart w:id="1101" w:name="_Toc179632706"/>
      <w:bookmarkEnd w:id="1101"/>
      <w:bookmarkStart w:id="1102" w:name="_Toc152042466"/>
      <w:bookmarkEnd w:id="1102"/>
      <w:bookmarkStart w:id="1103" w:name="_Toc283794239"/>
      <w:bookmarkEnd w:id="1103"/>
      <w:bookmarkStart w:id="1104" w:name="_Toc282787489"/>
      <w:bookmarkEnd w:id="1104"/>
      <w:bookmarkStart w:id="1105" w:name="_Toc152045688"/>
      <w:bookmarkEnd w:id="1105"/>
      <w:bookmarkStart w:id="1106" w:name="_Toc237923867"/>
      <w:bookmarkEnd w:id="1106"/>
      <w:bookmarkStart w:id="1107" w:name="_Toc282779042"/>
      <w:bookmarkEnd w:id="1107"/>
      <w:bookmarkStart w:id="1108" w:name="_Toc144974656"/>
      <w:bookmarkEnd w:id="1108"/>
      <w:bookmarkStart w:id="1109" w:name="_Toc287853391"/>
      <w:bookmarkEnd w:id="1109"/>
      <w:bookmarkStart w:id="1110" w:name="_Toc282779551"/>
      <w:r>
        <w:rPr>
          <w:rFonts w:hint="eastAsia" w:ascii="宋体" w:hAnsi="宋体" w:eastAsia="宋体" w:cs="宋体"/>
          <w:color w:val="000000"/>
          <w:kern w:val="2"/>
          <w:sz w:val="21"/>
          <w:szCs w:val="21"/>
          <w:lang w:val="en-US" w:eastAsia="zh-CN" w:bidi="ar"/>
        </w:rPr>
        <w:t>11.6</w:t>
      </w:r>
      <w:bookmarkEnd w:id="1110"/>
      <w:bookmarkStart w:id="1111" w:name="_Toc144974657"/>
      <w:bookmarkEnd w:id="1111"/>
      <w:r>
        <w:rPr>
          <w:rFonts w:hint="eastAsia" w:ascii="宋体" w:hAnsi="宋体" w:eastAsia="宋体" w:cs="宋体"/>
          <w:color w:val="000000"/>
          <w:kern w:val="2"/>
          <w:sz w:val="21"/>
          <w:szCs w:val="21"/>
          <w:lang w:val="en-US" w:eastAsia="zh-CN" w:bidi="ar"/>
        </w:rPr>
        <w:t xml:space="preserve">  工期提前</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在投标书附录中写明的相应奖金。</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12" w:name="_Toc282787490"/>
      <w:bookmarkEnd w:id="1112"/>
      <w:r>
        <w:rPr>
          <w:rFonts w:hint="eastAsia" w:ascii="宋体" w:hAnsi="宋体" w:eastAsia="宋体" w:cs="宋体"/>
          <w:color w:val="000000"/>
          <w:kern w:val="2"/>
          <w:sz w:val="21"/>
          <w:szCs w:val="21"/>
          <w:lang w:val="en-US" w:eastAsia="zh-CN" w:bidi="ar"/>
        </w:rPr>
        <w:t>11.7  工作时间的限制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承包人在夜间或国家规定的节假日进行公路养护工程的施工，应向监理人报告，以便监理人履行监理职责和义务。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但是，为了抢救生命或保护财产，或为了工程的安全、质量而不可避免地短暂作业，则不必事先向监理人报告。但承包人应在事后立即向监理人报告。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本款规定不适用于习惯上或施工本身要求实行连续生产的作业。</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113" w:name="_Toc987"/>
      <w:bookmarkEnd w:id="1113"/>
      <w:bookmarkStart w:id="1114" w:name="_Toc24249"/>
      <w:bookmarkEnd w:id="1114"/>
      <w:bookmarkStart w:id="1115" w:name="_Toc22797"/>
      <w:bookmarkEnd w:id="1115"/>
      <w:bookmarkStart w:id="1116" w:name="_Toc10905"/>
      <w:bookmarkEnd w:id="1116"/>
      <w:bookmarkStart w:id="1117" w:name="_Toc19440"/>
      <w:bookmarkEnd w:id="1117"/>
      <w:bookmarkStart w:id="1118" w:name="_Toc29260"/>
      <w:bookmarkEnd w:id="1118"/>
      <w:bookmarkStart w:id="1119" w:name="_Toc237923869"/>
      <w:bookmarkEnd w:id="1119"/>
      <w:bookmarkStart w:id="1120" w:name="_Toc288491568"/>
      <w:bookmarkEnd w:id="1120"/>
      <w:bookmarkStart w:id="1121" w:name="_Toc144974659"/>
      <w:bookmarkEnd w:id="1121"/>
      <w:bookmarkStart w:id="1122" w:name="_Toc287853392"/>
      <w:bookmarkEnd w:id="1122"/>
      <w:bookmarkStart w:id="1123" w:name="_Toc282779552"/>
      <w:bookmarkEnd w:id="1123"/>
      <w:bookmarkStart w:id="1124" w:name="_Toc282779043"/>
      <w:bookmarkEnd w:id="1124"/>
      <w:bookmarkStart w:id="1125" w:name="_Toc179632708"/>
      <w:bookmarkEnd w:id="1125"/>
      <w:bookmarkStart w:id="1126" w:name="_Toc3170"/>
      <w:bookmarkEnd w:id="1126"/>
      <w:bookmarkStart w:id="1127" w:name="_Toc152042468"/>
      <w:bookmarkEnd w:id="1127"/>
      <w:bookmarkStart w:id="1128" w:name="_Toc118378083"/>
      <w:bookmarkEnd w:id="1128"/>
      <w:bookmarkStart w:id="1129" w:name="_Toc15118"/>
      <w:bookmarkEnd w:id="1129"/>
      <w:bookmarkStart w:id="1130" w:name="_Toc27097"/>
      <w:bookmarkEnd w:id="1130"/>
      <w:bookmarkStart w:id="1131" w:name="_Toc18768"/>
      <w:bookmarkEnd w:id="1131"/>
      <w:bookmarkStart w:id="1132" w:name="_Toc17530"/>
      <w:bookmarkEnd w:id="1132"/>
      <w:bookmarkStart w:id="1133" w:name="_Toc283794240"/>
      <w:bookmarkEnd w:id="1133"/>
      <w:bookmarkStart w:id="1134" w:name="_Toc9481"/>
      <w:bookmarkEnd w:id="1134"/>
      <w:bookmarkStart w:id="1135" w:name="_Toc282787491"/>
      <w:bookmarkEnd w:id="1135"/>
      <w:bookmarkStart w:id="1136" w:name="_Toc16841"/>
      <w:bookmarkEnd w:id="1136"/>
      <w:bookmarkStart w:id="1137" w:name="_Toc514936612"/>
      <w:bookmarkEnd w:id="1137"/>
      <w:bookmarkStart w:id="1138" w:name="_Toc152045690"/>
      <w:r>
        <w:rPr>
          <w:rFonts w:hint="eastAsia" w:ascii="宋体" w:hAnsi="宋体" w:eastAsia="宋体" w:cs="宋体"/>
          <w:color w:val="000000"/>
          <w:kern w:val="2"/>
          <w:sz w:val="21"/>
          <w:szCs w:val="21"/>
          <w:lang w:val="en-US" w:eastAsia="zh-CN" w:bidi="ar"/>
        </w:rPr>
        <w:t>12. 暂停施工</w:t>
      </w:r>
      <w:bookmarkEnd w:id="1138"/>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39" w:name="_Toc282779044"/>
      <w:bookmarkEnd w:id="1139"/>
      <w:bookmarkStart w:id="1140" w:name="_Toc282787492"/>
      <w:bookmarkEnd w:id="1140"/>
      <w:bookmarkStart w:id="1141" w:name="_Toc287853393"/>
      <w:bookmarkEnd w:id="1141"/>
      <w:bookmarkStart w:id="1142" w:name="_Toc288491569"/>
      <w:bookmarkEnd w:id="1142"/>
      <w:bookmarkStart w:id="1143" w:name="_Toc283794241"/>
      <w:bookmarkEnd w:id="1143"/>
      <w:bookmarkStart w:id="1144" w:name="_Toc282779553"/>
      <w:r>
        <w:rPr>
          <w:rFonts w:hint="eastAsia" w:ascii="宋体" w:hAnsi="宋体" w:eastAsia="宋体" w:cs="宋体"/>
          <w:color w:val="000000"/>
          <w:kern w:val="2"/>
          <w:sz w:val="21"/>
          <w:szCs w:val="21"/>
          <w:lang w:val="en-US" w:eastAsia="zh-CN" w:bidi="ar"/>
        </w:rPr>
        <w:t>12.1  承包人暂停施工的责任</w:t>
      </w:r>
      <w:bookmarkEnd w:id="114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因下列暂停施工增加的费用和（或）工期延误由承包人承担：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（1）承包人违约引起的暂停施工；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（2）由于承包人原因为工程合理施工和安全保障所必需的暂停施工；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（3）承包人擅自暂停施工；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（4）承包人其他原因引起的暂停施工；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（5）现场气候条件导致的必要停工（第11.4款规定的异常恶劣的气候条件除外）；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（6）项目专用合同条款可能约定的由承包人承担的其他暂停施工。</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45" w:name="_Toc179632709"/>
      <w:bookmarkEnd w:id="1145"/>
      <w:bookmarkStart w:id="1146" w:name="_Toc152042469"/>
      <w:bookmarkEnd w:id="1146"/>
      <w:bookmarkStart w:id="1147" w:name="_Toc282779045"/>
      <w:bookmarkEnd w:id="1147"/>
      <w:bookmarkStart w:id="1148" w:name="_Toc283794242"/>
      <w:bookmarkEnd w:id="1148"/>
      <w:bookmarkStart w:id="1149" w:name="_Toc144974660"/>
      <w:bookmarkEnd w:id="1149"/>
      <w:bookmarkStart w:id="1150" w:name="_Toc152045691"/>
      <w:bookmarkEnd w:id="1150"/>
      <w:bookmarkStart w:id="1151" w:name="_Toc282787493"/>
      <w:bookmarkEnd w:id="1151"/>
      <w:bookmarkStart w:id="1152" w:name="_Toc287853394"/>
      <w:bookmarkEnd w:id="1152"/>
      <w:bookmarkStart w:id="1153" w:name="_Toc237923870"/>
      <w:bookmarkEnd w:id="1153"/>
      <w:bookmarkStart w:id="1154" w:name="_Toc282779554"/>
      <w:bookmarkEnd w:id="1154"/>
      <w:bookmarkStart w:id="1155" w:name="_Toc288491570"/>
      <w:r>
        <w:rPr>
          <w:rFonts w:hint="eastAsia" w:ascii="宋体" w:hAnsi="宋体" w:eastAsia="宋体" w:cs="宋体"/>
          <w:color w:val="000000"/>
          <w:kern w:val="2"/>
          <w:sz w:val="21"/>
          <w:szCs w:val="21"/>
          <w:lang w:val="en-US" w:eastAsia="zh-CN" w:bidi="ar"/>
        </w:rPr>
        <w:t>12.2  发包人暂停施工的责任</w:t>
      </w:r>
      <w:bookmarkEnd w:id="115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由于发包人原因引起的暂停施工造成工期延误的，承包人有权要求发包人延长工期和（或）增加费用，并支付合理利润。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56" w:name="_Toc287853395"/>
      <w:bookmarkEnd w:id="1156"/>
      <w:bookmarkStart w:id="1157" w:name="_Toc237923871"/>
      <w:bookmarkEnd w:id="1157"/>
      <w:bookmarkStart w:id="1158" w:name="_Toc152045692"/>
      <w:bookmarkEnd w:id="1158"/>
      <w:bookmarkStart w:id="1159" w:name="_Toc282779046"/>
      <w:bookmarkEnd w:id="1159"/>
      <w:bookmarkStart w:id="1160" w:name="_Toc282779555"/>
      <w:bookmarkEnd w:id="1160"/>
      <w:bookmarkStart w:id="1161" w:name="_Toc152042470"/>
      <w:bookmarkEnd w:id="1161"/>
      <w:bookmarkStart w:id="1162" w:name="_Toc282787494"/>
      <w:bookmarkEnd w:id="1162"/>
      <w:bookmarkStart w:id="1163" w:name="_Toc179632710"/>
      <w:bookmarkEnd w:id="1163"/>
      <w:bookmarkStart w:id="1164" w:name="_Toc144974661"/>
      <w:bookmarkEnd w:id="1164"/>
      <w:bookmarkStart w:id="1165" w:name="_Toc288491571"/>
      <w:bookmarkEnd w:id="1165"/>
      <w:bookmarkStart w:id="1166" w:name="_Toc283794243"/>
      <w:r>
        <w:rPr>
          <w:rFonts w:hint="eastAsia" w:ascii="宋体" w:hAnsi="宋体" w:eastAsia="宋体" w:cs="宋体"/>
          <w:color w:val="000000"/>
          <w:kern w:val="2"/>
          <w:sz w:val="21"/>
          <w:szCs w:val="21"/>
          <w:lang w:val="en-US" w:eastAsia="zh-CN" w:bidi="ar"/>
        </w:rPr>
        <w:t>12.3  监理人暂停施工指示</w:t>
      </w:r>
      <w:bookmarkEnd w:id="116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12.3.1  监理人认为有必要时，可向承包人作出暂停施工的指示，承包人应按监理人指示暂停施工。不论由于何种原因引起的暂停施工，暂停施工期间承包人应负责妥善保护工程并提供安全保障。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67" w:name="_Toc152042471"/>
      <w:bookmarkEnd w:id="1167"/>
      <w:bookmarkStart w:id="1168" w:name="_Toc288491572"/>
      <w:bookmarkEnd w:id="1168"/>
      <w:bookmarkStart w:id="1169" w:name="_Toc282779556"/>
      <w:bookmarkEnd w:id="1169"/>
      <w:bookmarkStart w:id="1170" w:name="_Toc179632711"/>
      <w:bookmarkEnd w:id="1170"/>
      <w:bookmarkStart w:id="1171" w:name="_Toc152045693"/>
      <w:bookmarkEnd w:id="1171"/>
      <w:bookmarkStart w:id="1172" w:name="_Toc282779047"/>
      <w:bookmarkEnd w:id="1172"/>
      <w:bookmarkStart w:id="1173" w:name="_Toc283794244"/>
      <w:bookmarkEnd w:id="1173"/>
      <w:bookmarkStart w:id="1174" w:name="_Toc287853396"/>
      <w:bookmarkEnd w:id="1174"/>
      <w:bookmarkStart w:id="1175" w:name="_Toc144974662"/>
      <w:bookmarkEnd w:id="1175"/>
      <w:bookmarkStart w:id="1176" w:name="_Toc237923872"/>
      <w:bookmarkEnd w:id="1176"/>
      <w:bookmarkStart w:id="1177" w:name="_Toc282787495"/>
      <w:r>
        <w:rPr>
          <w:rFonts w:hint="eastAsia" w:ascii="宋体" w:hAnsi="宋体" w:eastAsia="宋体" w:cs="宋体"/>
          <w:color w:val="000000"/>
          <w:kern w:val="2"/>
          <w:sz w:val="21"/>
          <w:szCs w:val="21"/>
          <w:lang w:val="en-US" w:eastAsia="zh-CN" w:bidi="ar"/>
        </w:rPr>
        <w:t>12.4  暂停施工后的复工</w:t>
      </w:r>
      <w:bookmarkEnd w:id="117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12.4.2  承包人无故拖延和拒绝复工的，由此增加的费用和工期延误由承包人承担；因发包人原因无法按时复工的，承包人有权要求发包人延长工期和（或）增加费用，并支付合理利润。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178" w:name="_Toc152045694"/>
      <w:bookmarkEnd w:id="1178"/>
      <w:bookmarkStart w:id="1179" w:name="_Toc179632712"/>
      <w:bookmarkEnd w:id="1179"/>
      <w:bookmarkStart w:id="1180" w:name="_Toc237923873"/>
      <w:bookmarkEnd w:id="1180"/>
      <w:bookmarkStart w:id="1181" w:name="_Toc287853397"/>
      <w:bookmarkEnd w:id="1181"/>
      <w:bookmarkStart w:id="1182" w:name="_Toc144974663"/>
      <w:bookmarkEnd w:id="1182"/>
      <w:bookmarkStart w:id="1183" w:name="_Toc282779557"/>
      <w:bookmarkEnd w:id="1183"/>
      <w:bookmarkStart w:id="1184" w:name="_Toc152042472"/>
      <w:bookmarkEnd w:id="1184"/>
      <w:bookmarkStart w:id="1185" w:name="_Toc288491573"/>
      <w:bookmarkEnd w:id="1185"/>
      <w:bookmarkStart w:id="1186" w:name="_Toc282779048"/>
      <w:bookmarkEnd w:id="1186"/>
      <w:bookmarkStart w:id="1187" w:name="_Toc282787496"/>
      <w:bookmarkEnd w:id="1187"/>
      <w:bookmarkStart w:id="1188" w:name="_Toc283794245"/>
      <w:r>
        <w:rPr>
          <w:rFonts w:hint="eastAsia" w:ascii="宋体" w:hAnsi="宋体" w:eastAsia="宋体" w:cs="宋体"/>
          <w:color w:val="000000"/>
          <w:kern w:val="2"/>
          <w:sz w:val="21"/>
          <w:szCs w:val="21"/>
          <w:lang w:val="en-US" w:eastAsia="zh-CN" w:bidi="ar"/>
        </w:rPr>
        <w:t xml:space="preserve">12.5  </w:t>
      </w:r>
      <w:bookmarkEnd w:id="1188"/>
      <w:r>
        <w:rPr>
          <w:rFonts w:hint="eastAsia" w:ascii="宋体" w:hAnsi="宋体" w:eastAsia="宋体" w:cs="宋体"/>
          <w:color w:val="000000"/>
          <w:kern w:val="2"/>
          <w:sz w:val="21"/>
          <w:szCs w:val="21"/>
          <w:lang w:val="en-US" w:eastAsia="zh-CN" w:bidi="ar"/>
        </w:rPr>
        <w:t>暂停施工持续56天以上</w:t>
      </w:r>
    </w:p>
    <w:p>
      <w:pPr>
        <w:keepNext w:val="0"/>
        <w:keepLines w:val="0"/>
        <w:widowControl w:val="0"/>
        <w:suppressLineNumbers w:val="0"/>
        <w:spacing w:before="0" w:beforeAutospacing="0" w:after="0" w:afterAutospacing="0" w:line="400" w:lineRule="exact"/>
        <w:ind w:left="0" w:right="0" w:firstLine="411" w:firstLineChars="196"/>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12.5.2  由于承包人责任引起的暂停施工，如承包人在收到监理人暂停施工指示后56天内不认真采取有效的复工措施，造成工期延误，可视为承包人违约，应按第22.1款的规定办理。</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189" w:name="_Toc7843"/>
      <w:bookmarkEnd w:id="1189"/>
      <w:bookmarkStart w:id="1190" w:name="_Toc8846"/>
      <w:bookmarkEnd w:id="1190"/>
      <w:bookmarkStart w:id="1191" w:name="_Toc283794246"/>
      <w:bookmarkEnd w:id="1191"/>
      <w:bookmarkStart w:id="1192" w:name="_Toc8250"/>
      <w:bookmarkEnd w:id="1192"/>
      <w:bookmarkStart w:id="1193" w:name="_Toc16248"/>
      <w:bookmarkEnd w:id="1193"/>
      <w:bookmarkStart w:id="1194" w:name="_Toc282787497"/>
      <w:bookmarkEnd w:id="1194"/>
      <w:bookmarkStart w:id="1195" w:name="_Toc514936613"/>
      <w:bookmarkEnd w:id="1195"/>
      <w:bookmarkStart w:id="1196" w:name="_Toc2846"/>
      <w:bookmarkEnd w:id="1196"/>
      <w:bookmarkStart w:id="1197" w:name="_Toc282779049"/>
      <w:bookmarkEnd w:id="1197"/>
      <w:bookmarkStart w:id="1198" w:name="_Toc152042473"/>
      <w:bookmarkEnd w:id="1198"/>
      <w:bookmarkStart w:id="1199" w:name="_Toc288491574"/>
      <w:bookmarkEnd w:id="1199"/>
      <w:bookmarkStart w:id="1200" w:name="_Toc144974664"/>
      <w:bookmarkEnd w:id="1200"/>
      <w:bookmarkStart w:id="1201" w:name="_Toc152045695"/>
      <w:bookmarkEnd w:id="1201"/>
      <w:bookmarkStart w:id="1202" w:name="_Toc31039"/>
      <w:bookmarkEnd w:id="1202"/>
      <w:bookmarkStart w:id="1203" w:name="_Toc4338"/>
      <w:bookmarkEnd w:id="1203"/>
      <w:bookmarkStart w:id="1204" w:name="_Toc237923874"/>
      <w:bookmarkEnd w:id="1204"/>
      <w:bookmarkStart w:id="1205" w:name="_Toc118378084"/>
      <w:bookmarkEnd w:id="1205"/>
      <w:bookmarkStart w:id="1206" w:name="_Toc28297"/>
      <w:bookmarkEnd w:id="1206"/>
      <w:bookmarkStart w:id="1207" w:name="_Toc282779558"/>
      <w:bookmarkEnd w:id="1207"/>
      <w:bookmarkStart w:id="1208" w:name="_Toc24762"/>
      <w:bookmarkEnd w:id="1208"/>
      <w:bookmarkStart w:id="1209" w:name="_Toc179632713"/>
      <w:bookmarkEnd w:id="1209"/>
      <w:bookmarkStart w:id="1210" w:name="_Toc26364"/>
      <w:bookmarkEnd w:id="1210"/>
      <w:bookmarkStart w:id="1211" w:name="_Toc19911"/>
      <w:bookmarkEnd w:id="1211"/>
      <w:bookmarkStart w:id="1212" w:name="_Toc25887"/>
      <w:bookmarkEnd w:id="1212"/>
      <w:bookmarkStart w:id="1213" w:name="_Toc16375"/>
      <w:bookmarkEnd w:id="1213"/>
      <w:bookmarkStart w:id="1214" w:name="_Toc287853398"/>
      <w:r>
        <w:rPr>
          <w:rFonts w:hint="eastAsia" w:ascii="宋体" w:hAnsi="宋体" w:eastAsia="宋体" w:cs="宋体"/>
          <w:color w:val="000000"/>
          <w:kern w:val="2"/>
          <w:sz w:val="21"/>
          <w:szCs w:val="21"/>
          <w:lang w:val="en-US" w:eastAsia="zh-CN" w:bidi="ar"/>
        </w:rPr>
        <w:t>13．工程质量</w:t>
      </w:r>
      <w:bookmarkEnd w:id="121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15" w:name="_Toc179632714"/>
      <w:bookmarkEnd w:id="1215"/>
      <w:bookmarkStart w:id="1216" w:name="_Toc237923875"/>
      <w:bookmarkEnd w:id="1216"/>
      <w:bookmarkStart w:id="1217" w:name="_Toc144974665"/>
      <w:bookmarkEnd w:id="1217"/>
      <w:bookmarkStart w:id="1218" w:name="_Toc287853399"/>
      <w:bookmarkEnd w:id="1218"/>
      <w:bookmarkStart w:id="1219" w:name="_Toc152042474"/>
      <w:bookmarkEnd w:id="1219"/>
      <w:bookmarkStart w:id="1220" w:name="_Toc282779559"/>
      <w:bookmarkEnd w:id="1220"/>
      <w:bookmarkStart w:id="1221" w:name="_Toc152045696"/>
      <w:bookmarkEnd w:id="1221"/>
      <w:bookmarkStart w:id="1222" w:name="_Toc288491575"/>
      <w:bookmarkEnd w:id="1222"/>
      <w:bookmarkStart w:id="1223" w:name="_Toc282787498"/>
      <w:bookmarkEnd w:id="1223"/>
      <w:bookmarkStart w:id="1224" w:name="_Toc282779050"/>
      <w:bookmarkEnd w:id="1224"/>
      <w:bookmarkStart w:id="1225" w:name="_Toc283794247"/>
      <w:r>
        <w:rPr>
          <w:rFonts w:hint="eastAsia" w:ascii="宋体" w:hAnsi="宋体" w:eastAsia="宋体" w:cs="宋体"/>
          <w:color w:val="000000"/>
          <w:kern w:val="2"/>
          <w:sz w:val="21"/>
          <w:szCs w:val="21"/>
          <w:lang w:val="en-US" w:eastAsia="zh-CN" w:bidi="ar"/>
        </w:rPr>
        <w:t>13.1  工程质量要求</w:t>
      </w:r>
      <w:bookmarkEnd w:id="122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13.1.1  工程质量验收按验收标准执行。（适用于小修保养工程）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已完成合同规定的养护工程质量，按技术规范及《公路养护技术状况标准》进行检测、调查和评定。公路养护质量指数（MQI）应经常保持在90分以上。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13.1.1  工程质量验收按验收标准执行。（适用于大中修养护工程）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工程质量验收按技术规范及《公路工程质量检验评定标准》执行。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质量目标为：交工验收工程质量评定得分大于等于90分为优良；小于90分且大于等于75分为合格；小于75分为不合格。承包人应为本合同的施工建立强有力的质保系统和质检系统，认真执行国家、交通运输部和浙江省交通运输厅有关加强质量管理的法规和文件，开展全面质量管理，确保工程质量达到质量目标。</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13.1.2  因承包人原因造成工程质量达不到合同约定验收标准的，监理人有权要求承包人返工直至符合合同要求为止，由此造成的费用增加和（或）工期延误由承包人承担。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13.1.3  因发包人原因造成工程质量达不到合同约定验收标准的，发包人应承担由于承包人返工造成的费用增加和（或）工期延误，并支付承包人合理利润。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26" w:name="_Toc179632715"/>
      <w:bookmarkEnd w:id="1226"/>
      <w:bookmarkStart w:id="1227" w:name="_Toc282779051"/>
      <w:bookmarkEnd w:id="1227"/>
      <w:bookmarkStart w:id="1228" w:name="_Toc237923876"/>
      <w:bookmarkEnd w:id="1228"/>
      <w:bookmarkStart w:id="1229" w:name="_Toc282787499"/>
      <w:bookmarkEnd w:id="1229"/>
      <w:bookmarkStart w:id="1230" w:name="_Toc283794248"/>
      <w:bookmarkEnd w:id="1230"/>
      <w:bookmarkStart w:id="1231" w:name="_Toc152045697"/>
      <w:bookmarkEnd w:id="1231"/>
      <w:bookmarkStart w:id="1232" w:name="_Toc144974666"/>
      <w:bookmarkEnd w:id="1232"/>
      <w:bookmarkStart w:id="1233" w:name="_Toc287853400"/>
      <w:bookmarkEnd w:id="1233"/>
      <w:bookmarkStart w:id="1234" w:name="_Toc288491576"/>
      <w:bookmarkEnd w:id="1234"/>
      <w:bookmarkStart w:id="1235" w:name="_Toc152042475"/>
      <w:bookmarkEnd w:id="1235"/>
      <w:bookmarkStart w:id="1236" w:name="_Toc282779560"/>
      <w:r>
        <w:rPr>
          <w:rFonts w:hint="eastAsia" w:ascii="宋体" w:hAnsi="宋体" w:eastAsia="宋体" w:cs="宋体"/>
          <w:color w:val="000000"/>
          <w:kern w:val="2"/>
          <w:sz w:val="21"/>
          <w:szCs w:val="21"/>
          <w:lang w:val="en-US" w:eastAsia="zh-CN" w:bidi="ar"/>
        </w:rPr>
        <w:t>13.2  承包人的质量管理</w:t>
      </w:r>
      <w:bookmarkEnd w:id="123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13.2.2  承包人应加强对施工人员的质量教育和技术培训，定期考核施工人员的劳动技能，严格执行规范和操作规程。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13.2.3  承包人必须遵守国家有关法律、法规和规章，严格执行《公路养护技术规范》（JTG H10-2009）、《公路技术状况评定标准》（JTG H20-2007）等各类技术规范及规程，全面履行工程合同义务，依法对公路养护工程质量负责。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13.2.4  承包人应加强质量监控，确保规范规定的检验、抽检频率，现场质检的原始资料必须真实、准确、可靠，不得追记，接受质量检查时必须出示原始资料。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13.2.5  承包人必须完善检验手段，根据技术规范的规定配齐检测和试验仪器、仪表，并应及时校正确保其精度；加强材料检验工作，不合格材料严禁用于本工程。</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37" w:name="_Toc282787500"/>
      <w:bookmarkEnd w:id="1237"/>
      <w:bookmarkStart w:id="1238" w:name="_Toc282779561"/>
      <w:bookmarkEnd w:id="1238"/>
      <w:bookmarkStart w:id="1239" w:name="_Toc152042476"/>
      <w:bookmarkEnd w:id="1239"/>
      <w:bookmarkStart w:id="1240" w:name="_Toc152045698"/>
      <w:bookmarkEnd w:id="1240"/>
      <w:bookmarkStart w:id="1241" w:name="_Toc287853401"/>
      <w:bookmarkEnd w:id="1241"/>
      <w:bookmarkStart w:id="1242" w:name="_Toc144974667"/>
      <w:bookmarkEnd w:id="1242"/>
      <w:bookmarkStart w:id="1243" w:name="_Toc283794249"/>
      <w:bookmarkEnd w:id="1243"/>
      <w:bookmarkStart w:id="1244" w:name="_Toc282779052"/>
      <w:bookmarkEnd w:id="1244"/>
      <w:bookmarkStart w:id="1245" w:name="_Toc288491577"/>
      <w:bookmarkEnd w:id="1245"/>
      <w:bookmarkStart w:id="1246" w:name="_Toc237923877"/>
      <w:bookmarkEnd w:id="1246"/>
      <w:bookmarkStart w:id="1247" w:name="_Toc179632716"/>
      <w:r>
        <w:rPr>
          <w:rFonts w:hint="eastAsia" w:ascii="宋体" w:hAnsi="宋体" w:eastAsia="宋体" w:cs="宋体"/>
          <w:color w:val="000000"/>
          <w:kern w:val="2"/>
          <w:sz w:val="21"/>
          <w:szCs w:val="21"/>
          <w:lang w:val="en-US" w:eastAsia="zh-CN" w:bidi="ar"/>
        </w:rPr>
        <w:t>13.3  承包人的质量检查</w:t>
      </w:r>
      <w:bookmarkEnd w:id="124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承包人应按合同约定对材料、工程设备以及工程的所有部位及其施工工艺进行全过程的质量检查和检验，并作详细记录，编制工程质量报表，报送监理人审查。</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48" w:name="_Toc287853402"/>
      <w:bookmarkEnd w:id="1248"/>
      <w:bookmarkStart w:id="1249" w:name="_Toc282779053"/>
      <w:bookmarkEnd w:id="1249"/>
      <w:bookmarkStart w:id="1250" w:name="_Toc144974668"/>
      <w:bookmarkEnd w:id="1250"/>
      <w:bookmarkStart w:id="1251" w:name="_Toc288491578"/>
      <w:bookmarkEnd w:id="1251"/>
      <w:bookmarkStart w:id="1252" w:name="_Toc179632717"/>
      <w:bookmarkEnd w:id="1252"/>
      <w:bookmarkStart w:id="1253" w:name="_Toc152045699"/>
      <w:bookmarkEnd w:id="1253"/>
      <w:bookmarkStart w:id="1254" w:name="_Toc282787501"/>
      <w:bookmarkEnd w:id="1254"/>
      <w:bookmarkStart w:id="1255" w:name="_Toc237923878"/>
      <w:bookmarkEnd w:id="1255"/>
      <w:bookmarkStart w:id="1256" w:name="_Toc283794250"/>
      <w:bookmarkEnd w:id="1256"/>
      <w:bookmarkStart w:id="1257" w:name="_Toc152042477"/>
      <w:bookmarkEnd w:id="1257"/>
      <w:bookmarkStart w:id="1258" w:name="_Toc282779562"/>
      <w:r>
        <w:rPr>
          <w:rFonts w:hint="eastAsia" w:ascii="宋体" w:hAnsi="宋体" w:eastAsia="宋体" w:cs="宋体"/>
          <w:color w:val="000000"/>
          <w:kern w:val="2"/>
          <w:sz w:val="21"/>
          <w:szCs w:val="21"/>
          <w:lang w:val="en-US" w:eastAsia="zh-CN" w:bidi="ar"/>
        </w:rPr>
        <w:t>13.4  监理人的质量检查</w:t>
      </w:r>
      <w:bookmarkEnd w:id="125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监理人及其委派的检验人员，应能进入工程现场，以及材料加工场所，包括不属于承包人的场所进行检查，承包人应为此提供便利和协助。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监理人可以将材料检验委托一家独立的有质量检验认证资格的检验单位。该独立检验单位的检验结果应视为监理人完成的。监理人应将这种委托的通知书不少于7天前交给承包人。</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59" w:name="_Toc282779563"/>
      <w:bookmarkEnd w:id="1259"/>
      <w:bookmarkStart w:id="1260" w:name="_Toc237923879"/>
      <w:bookmarkEnd w:id="1260"/>
      <w:bookmarkStart w:id="1261" w:name="_Toc282779054"/>
      <w:bookmarkEnd w:id="1261"/>
      <w:bookmarkStart w:id="1262" w:name="_Toc179632718"/>
      <w:bookmarkEnd w:id="1262"/>
      <w:bookmarkStart w:id="1263" w:name="_Toc282787502"/>
      <w:bookmarkEnd w:id="1263"/>
      <w:bookmarkStart w:id="1264" w:name="_Toc287853403"/>
      <w:bookmarkEnd w:id="1264"/>
      <w:bookmarkStart w:id="1265" w:name="_Toc152042478"/>
      <w:bookmarkEnd w:id="1265"/>
      <w:bookmarkStart w:id="1266" w:name="_Toc152045700"/>
      <w:bookmarkEnd w:id="1266"/>
      <w:bookmarkStart w:id="1267" w:name="_Toc144974669"/>
      <w:bookmarkEnd w:id="1267"/>
      <w:bookmarkStart w:id="1268" w:name="_Toc288491579"/>
      <w:bookmarkEnd w:id="1268"/>
      <w:bookmarkStart w:id="1269" w:name="_Toc283794251"/>
      <w:r>
        <w:rPr>
          <w:rFonts w:hint="eastAsia" w:ascii="宋体" w:hAnsi="宋体" w:eastAsia="宋体" w:cs="宋体"/>
          <w:color w:val="000000"/>
          <w:kern w:val="2"/>
          <w:sz w:val="21"/>
          <w:szCs w:val="21"/>
          <w:lang w:val="en-US" w:eastAsia="zh-CN" w:bidi="ar"/>
        </w:rPr>
        <w:t>13.5  工程隐蔽部位覆盖前的检查</w:t>
      </w:r>
      <w:bookmarkEnd w:id="126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13.5.1  通知监理人检查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当监理人有指令时，承包人应对重要隐蔽工程进行拍摄或照相并应保证监理人有充分的机会对将要覆盖或掩蔽的工程进行检查和量测，特别是在基础以上的任一部分工程修筑之前，对该基础进行检查。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13.5.2  监理人未到场检查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13.5.3  监理人重新检查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13.5.4  承包人私自覆盖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承包人未通知监理人到场检查，私自将工程隐蔽部位覆盖的，监理人有权指示承包人钻孔探测或揭开检查，由此增加的费用和（或）工期延误由承包人承担。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270" w:name="_Toc288491580"/>
      <w:bookmarkEnd w:id="1270"/>
      <w:bookmarkStart w:id="1271" w:name="_Toc152045701"/>
      <w:bookmarkEnd w:id="1271"/>
      <w:bookmarkStart w:id="1272" w:name="_Toc287853404"/>
      <w:bookmarkEnd w:id="1272"/>
      <w:bookmarkStart w:id="1273" w:name="_Toc282779564"/>
      <w:bookmarkEnd w:id="1273"/>
      <w:bookmarkStart w:id="1274" w:name="_Toc179632719"/>
      <w:bookmarkEnd w:id="1274"/>
      <w:bookmarkStart w:id="1275" w:name="_Toc282787503"/>
      <w:bookmarkEnd w:id="1275"/>
      <w:bookmarkStart w:id="1276" w:name="_Toc283794252"/>
      <w:bookmarkEnd w:id="1276"/>
      <w:bookmarkStart w:id="1277" w:name="_Toc237923880"/>
      <w:bookmarkEnd w:id="1277"/>
      <w:bookmarkStart w:id="1278" w:name="_Toc152042479"/>
      <w:bookmarkEnd w:id="1278"/>
      <w:bookmarkStart w:id="1279" w:name="_Toc144974670"/>
      <w:bookmarkEnd w:id="1279"/>
      <w:bookmarkStart w:id="1280" w:name="_Toc282779055"/>
      <w:r>
        <w:rPr>
          <w:rFonts w:hint="eastAsia" w:ascii="宋体" w:hAnsi="宋体" w:eastAsia="宋体" w:cs="宋体"/>
          <w:color w:val="000000"/>
          <w:kern w:val="2"/>
          <w:sz w:val="21"/>
          <w:szCs w:val="21"/>
          <w:lang w:val="en-US" w:eastAsia="zh-CN" w:bidi="ar"/>
        </w:rPr>
        <w:t>13.6  清除不合格工程</w:t>
      </w:r>
      <w:bookmarkEnd w:id="128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13.6.1  （1）承包人使用不合格材料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（2）如果承包人未在规定时间内执行监理人的指示，发包人有权雇用他人执行，由此增加的费用和（或）工期延误由承包人承担。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13.6.2  由于发包人提供的材料或工程设备不合格造成的工程不合格，需要承包人采取措施补救的，发包人应承担由此增加的费用和（或）工期延误，并支付承包人合理利润。</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281" w:name="_Toc118378085"/>
      <w:bookmarkEnd w:id="1281"/>
      <w:bookmarkStart w:id="1282" w:name="_Toc282779056"/>
      <w:bookmarkEnd w:id="1282"/>
      <w:bookmarkStart w:id="1283" w:name="_Toc287853405"/>
      <w:bookmarkEnd w:id="1283"/>
      <w:bookmarkStart w:id="1284" w:name="_Toc152045702"/>
      <w:bookmarkEnd w:id="1284"/>
      <w:bookmarkStart w:id="1285" w:name="_Toc514936614"/>
      <w:bookmarkEnd w:id="1285"/>
      <w:bookmarkStart w:id="1286" w:name="_Toc144974671"/>
      <w:bookmarkEnd w:id="1286"/>
      <w:bookmarkStart w:id="1287" w:name="_Toc23946"/>
      <w:bookmarkEnd w:id="1287"/>
      <w:bookmarkStart w:id="1288" w:name="_Toc288491581"/>
      <w:bookmarkEnd w:id="1288"/>
      <w:bookmarkStart w:id="1289" w:name="_Toc179632720"/>
      <w:bookmarkEnd w:id="1289"/>
      <w:bookmarkStart w:id="1290" w:name="_Toc283794253"/>
      <w:bookmarkEnd w:id="1290"/>
      <w:bookmarkStart w:id="1291" w:name="_Toc237923881"/>
      <w:bookmarkEnd w:id="1291"/>
      <w:bookmarkStart w:id="1292" w:name="_Toc21323"/>
      <w:bookmarkEnd w:id="1292"/>
      <w:bookmarkStart w:id="1293" w:name="_Toc5660"/>
      <w:bookmarkEnd w:id="1293"/>
      <w:bookmarkStart w:id="1294" w:name="_Toc282787504"/>
      <w:bookmarkEnd w:id="1294"/>
      <w:bookmarkStart w:id="1295" w:name="_Toc31389"/>
      <w:bookmarkEnd w:id="1295"/>
      <w:bookmarkStart w:id="1296" w:name="_Toc24784"/>
      <w:bookmarkEnd w:id="1296"/>
      <w:bookmarkStart w:id="1297" w:name="_Toc295"/>
      <w:bookmarkEnd w:id="1297"/>
      <w:bookmarkStart w:id="1298" w:name="_Toc282779565"/>
      <w:bookmarkEnd w:id="1298"/>
      <w:bookmarkStart w:id="1299" w:name="_Toc7575"/>
      <w:bookmarkEnd w:id="1299"/>
      <w:bookmarkStart w:id="1300" w:name="_Toc29256"/>
      <w:bookmarkEnd w:id="1300"/>
      <w:bookmarkStart w:id="1301" w:name="_Toc7102"/>
      <w:bookmarkEnd w:id="1301"/>
      <w:bookmarkStart w:id="1302" w:name="_Toc10946"/>
      <w:bookmarkEnd w:id="1302"/>
      <w:bookmarkStart w:id="1303" w:name="_Toc12223"/>
      <w:bookmarkEnd w:id="1303"/>
      <w:bookmarkStart w:id="1304" w:name="_Toc152042480"/>
      <w:bookmarkEnd w:id="1304"/>
      <w:bookmarkStart w:id="1305" w:name="_Toc18146"/>
      <w:bookmarkEnd w:id="1305"/>
      <w:bookmarkStart w:id="1306" w:name="_Toc25142"/>
      <w:r>
        <w:rPr>
          <w:rFonts w:hint="eastAsia" w:ascii="宋体" w:hAnsi="宋体" w:eastAsia="宋体" w:cs="宋体"/>
          <w:color w:val="000000"/>
          <w:kern w:val="2"/>
          <w:sz w:val="21"/>
          <w:szCs w:val="21"/>
          <w:lang w:val="en-US" w:eastAsia="zh-CN" w:bidi="ar"/>
        </w:rPr>
        <w:t>14．试验和检验</w:t>
      </w:r>
      <w:bookmarkEnd w:id="1306"/>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07" w:name="_Toc282779057"/>
      <w:bookmarkEnd w:id="1307"/>
      <w:bookmarkStart w:id="1308" w:name="_Toc287853406"/>
      <w:bookmarkEnd w:id="1308"/>
      <w:bookmarkStart w:id="1309" w:name="_Toc179632721"/>
      <w:bookmarkEnd w:id="1309"/>
      <w:bookmarkStart w:id="1310" w:name="_Toc144974672"/>
      <w:bookmarkEnd w:id="1310"/>
      <w:bookmarkStart w:id="1311" w:name="_Toc288491582"/>
      <w:bookmarkEnd w:id="1311"/>
      <w:bookmarkStart w:id="1312" w:name="_Toc152042481"/>
      <w:bookmarkEnd w:id="1312"/>
      <w:bookmarkStart w:id="1313" w:name="_Toc283794254"/>
      <w:bookmarkEnd w:id="1313"/>
      <w:bookmarkStart w:id="1314" w:name="_Toc237923882"/>
      <w:bookmarkEnd w:id="1314"/>
      <w:bookmarkStart w:id="1315" w:name="_Toc282779566"/>
      <w:bookmarkEnd w:id="1315"/>
      <w:bookmarkStart w:id="1316" w:name="_Toc152045703"/>
      <w:bookmarkEnd w:id="1316"/>
      <w:bookmarkStart w:id="1317" w:name="_Toc282787505"/>
      <w:r>
        <w:rPr>
          <w:rFonts w:hint="eastAsia" w:ascii="宋体" w:hAnsi="宋体" w:eastAsia="宋体" w:cs="宋体"/>
          <w:color w:val="000000"/>
          <w:kern w:val="2"/>
          <w:sz w:val="21"/>
          <w:szCs w:val="21"/>
          <w:lang w:val="en-US" w:eastAsia="zh-CN" w:bidi="ar"/>
        </w:rPr>
        <w:t>14.1  材料、工程设备和工程的试验和检验</w:t>
      </w:r>
      <w:bookmarkEnd w:id="131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14.1.2  监理人未按合同约定派员参加试验和检验的，除监理人另有指示外，承包人可自行试验和检验，并应立即将试验和检验结果报送监理人，监理人应签字确认。</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18" w:name="_Toc288491583"/>
      <w:bookmarkEnd w:id="1318"/>
      <w:bookmarkStart w:id="1319" w:name="_Toc282787506"/>
      <w:bookmarkEnd w:id="1319"/>
      <w:bookmarkStart w:id="1320" w:name="_Toc179632722"/>
      <w:bookmarkEnd w:id="1320"/>
      <w:bookmarkStart w:id="1321" w:name="_Toc152045704"/>
      <w:bookmarkEnd w:id="1321"/>
      <w:bookmarkStart w:id="1322" w:name="_Toc287853407"/>
      <w:bookmarkEnd w:id="1322"/>
      <w:bookmarkStart w:id="1323" w:name="_Toc237923883"/>
      <w:bookmarkEnd w:id="1323"/>
      <w:bookmarkStart w:id="1324" w:name="_Toc283794255"/>
      <w:bookmarkEnd w:id="1324"/>
      <w:bookmarkStart w:id="1325" w:name="_Toc152042482"/>
      <w:bookmarkEnd w:id="1325"/>
      <w:bookmarkStart w:id="1326" w:name="_Toc144974673"/>
      <w:bookmarkEnd w:id="1326"/>
      <w:bookmarkStart w:id="1327" w:name="_Toc282779567"/>
      <w:bookmarkEnd w:id="1327"/>
      <w:bookmarkStart w:id="1328" w:name="_Toc282779058"/>
      <w:r>
        <w:rPr>
          <w:rFonts w:hint="eastAsia" w:ascii="宋体" w:hAnsi="宋体" w:eastAsia="宋体" w:cs="宋体"/>
          <w:color w:val="000000"/>
          <w:kern w:val="2"/>
          <w:sz w:val="21"/>
          <w:szCs w:val="21"/>
          <w:lang w:val="en-US" w:eastAsia="zh-CN" w:bidi="ar"/>
        </w:rPr>
        <w:t>14.2  现场材料试验</w:t>
      </w:r>
      <w:bookmarkEnd w:id="132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14.2.1  承包人根据合同约定或监理人指示进行的现场材料试验，应由承包人提供试验场所、试验人员、试验设备器材以及其他必要的试验条件。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14.2.2  监理人在必要时可以使用承包人的试验场所、试验设备器材以及其他试验条件，进行以工程质量检查为目的的复核性材料试验，承包人应予以协助。</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29" w:name="_Toc179632723"/>
      <w:bookmarkEnd w:id="1329"/>
      <w:bookmarkStart w:id="1330" w:name="_Toc144974674"/>
      <w:bookmarkEnd w:id="1330"/>
      <w:bookmarkStart w:id="1331" w:name="_Toc287853408"/>
      <w:bookmarkEnd w:id="1331"/>
      <w:bookmarkStart w:id="1332" w:name="_Toc282779059"/>
      <w:bookmarkEnd w:id="1332"/>
      <w:bookmarkStart w:id="1333" w:name="_Toc152045705"/>
      <w:bookmarkEnd w:id="1333"/>
      <w:bookmarkStart w:id="1334" w:name="_Toc152042483"/>
      <w:bookmarkEnd w:id="1334"/>
      <w:bookmarkStart w:id="1335" w:name="_Toc282779568"/>
      <w:bookmarkEnd w:id="1335"/>
      <w:bookmarkStart w:id="1336" w:name="_Toc288491584"/>
      <w:bookmarkEnd w:id="1336"/>
      <w:bookmarkStart w:id="1337" w:name="_Toc282787507"/>
      <w:bookmarkEnd w:id="1337"/>
      <w:bookmarkStart w:id="1338" w:name="_Toc283794256"/>
      <w:bookmarkEnd w:id="1338"/>
      <w:bookmarkStart w:id="1339" w:name="_Toc237923884"/>
      <w:r>
        <w:rPr>
          <w:rFonts w:hint="eastAsia" w:ascii="宋体" w:hAnsi="宋体" w:eastAsia="宋体" w:cs="宋体"/>
          <w:color w:val="000000"/>
          <w:kern w:val="2"/>
          <w:sz w:val="21"/>
          <w:szCs w:val="21"/>
          <w:lang w:val="en-US" w:eastAsia="zh-CN" w:bidi="ar"/>
        </w:rPr>
        <w:t>14.3  现场工艺试验</w:t>
      </w:r>
      <w:bookmarkEnd w:id="133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承包人应按合同约定或监理人指示进行现场工艺试验。对大型的现场工艺试验，监理人认为必要时，应由承包人根据监理人提出的工艺试验要求，编制工艺试验措施计划，报送监理人审批。</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40" w:name="_Toc282787508"/>
      <w:bookmarkEnd w:id="1340"/>
      <w:r>
        <w:rPr>
          <w:rFonts w:hint="eastAsia" w:ascii="宋体" w:hAnsi="宋体" w:eastAsia="宋体" w:cs="宋体"/>
          <w:color w:val="000000"/>
          <w:kern w:val="2"/>
          <w:sz w:val="21"/>
          <w:szCs w:val="21"/>
          <w:lang w:val="en-US" w:eastAsia="zh-CN" w:bidi="ar"/>
        </w:rPr>
        <w:t>14.4  试验和检验费用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（1）承包人应负责提供合同和技术规范规定的试验和检验所需的全部样品，并承担其他费用。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（2）在合同中明确规定的试验和检验，包括无须在工程量清单中单独列项和已在工程量清单中单独列项的试验和检验，其试验和检验的费用由承包人负担。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341" w:name="_Toc32365"/>
      <w:bookmarkEnd w:id="1341"/>
      <w:bookmarkStart w:id="1342" w:name="_Toc31212"/>
      <w:bookmarkEnd w:id="1342"/>
      <w:bookmarkStart w:id="1343" w:name="_Toc282787509"/>
      <w:bookmarkEnd w:id="1343"/>
      <w:bookmarkStart w:id="1344" w:name="_Toc12808"/>
      <w:bookmarkEnd w:id="1344"/>
      <w:bookmarkStart w:id="1345" w:name="_Toc179632724"/>
      <w:bookmarkEnd w:id="1345"/>
      <w:bookmarkStart w:id="1346" w:name="_Toc282779060"/>
      <w:bookmarkEnd w:id="1346"/>
      <w:bookmarkStart w:id="1347" w:name="_Toc5882"/>
      <w:bookmarkEnd w:id="1347"/>
      <w:bookmarkStart w:id="1348" w:name="_Toc21665"/>
      <w:bookmarkEnd w:id="1348"/>
      <w:bookmarkStart w:id="1349" w:name="_Toc152045706"/>
      <w:bookmarkEnd w:id="1349"/>
      <w:bookmarkStart w:id="1350" w:name="_Toc25413"/>
      <w:bookmarkEnd w:id="1350"/>
      <w:bookmarkStart w:id="1351" w:name="_Toc237923885"/>
      <w:bookmarkEnd w:id="1351"/>
      <w:bookmarkStart w:id="1352" w:name="_Toc144974675"/>
      <w:bookmarkEnd w:id="1352"/>
      <w:bookmarkStart w:id="1353" w:name="_Toc514936615"/>
      <w:bookmarkEnd w:id="1353"/>
      <w:bookmarkStart w:id="1354" w:name="_Toc287853409"/>
      <w:bookmarkEnd w:id="1354"/>
      <w:bookmarkStart w:id="1355" w:name="_Toc288491585"/>
      <w:bookmarkEnd w:id="1355"/>
      <w:bookmarkStart w:id="1356" w:name="_Toc15813"/>
      <w:bookmarkEnd w:id="1356"/>
      <w:bookmarkStart w:id="1357" w:name="_Toc152042484"/>
      <w:bookmarkEnd w:id="1357"/>
      <w:bookmarkStart w:id="1358" w:name="_Toc17526"/>
      <w:bookmarkEnd w:id="1358"/>
      <w:bookmarkStart w:id="1359" w:name="_Toc20138"/>
      <w:bookmarkEnd w:id="1359"/>
      <w:bookmarkStart w:id="1360" w:name="_Toc283794257"/>
      <w:bookmarkEnd w:id="1360"/>
      <w:bookmarkStart w:id="1361" w:name="_Toc26345"/>
      <w:bookmarkEnd w:id="1361"/>
      <w:bookmarkStart w:id="1362" w:name="_Toc7781"/>
      <w:bookmarkEnd w:id="1362"/>
      <w:bookmarkStart w:id="1363" w:name="_Toc118378086"/>
      <w:bookmarkEnd w:id="1363"/>
      <w:bookmarkStart w:id="1364" w:name="_Toc282779569"/>
      <w:bookmarkEnd w:id="1364"/>
      <w:bookmarkStart w:id="1365" w:name="_Toc20797"/>
      <w:bookmarkEnd w:id="1365"/>
      <w:bookmarkStart w:id="1366" w:name="_Toc12915"/>
      <w:r>
        <w:rPr>
          <w:rFonts w:hint="eastAsia" w:ascii="宋体" w:hAnsi="宋体" w:eastAsia="宋体" w:cs="宋体"/>
          <w:color w:val="000000"/>
          <w:kern w:val="2"/>
          <w:sz w:val="21"/>
          <w:szCs w:val="21"/>
          <w:lang w:val="en-US" w:eastAsia="zh-CN" w:bidi="ar"/>
        </w:rPr>
        <w:t>15．变更</w:t>
      </w:r>
      <w:bookmarkEnd w:id="1366"/>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67" w:name="_Toc237923886"/>
      <w:bookmarkEnd w:id="1367"/>
      <w:bookmarkStart w:id="1368" w:name="_Toc152042485"/>
      <w:bookmarkEnd w:id="1368"/>
      <w:bookmarkStart w:id="1369" w:name="_Toc282779061"/>
      <w:bookmarkEnd w:id="1369"/>
      <w:bookmarkStart w:id="1370" w:name="_Toc287853410"/>
      <w:bookmarkEnd w:id="1370"/>
      <w:bookmarkStart w:id="1371" w:name="_Toc144974676"/>
      <w:bookmarkEnd w:id="1371"/>
      <w:bookmarkStart w:id="1372" w:name="_Toc152045707"/>
      <w:bookmarkEnd w:id="1372"/>
      <w:bookmarkStart w:id="1373" w:name="_Toc283794258"/>
      <w:bookmarkEnd w:id="1373"/>
      <w:bookmarkStart w:id="1374" w:name="_Toc282779570"/>
      <w:bookmarkEnd w:id="1374"/>
      <w:bookmarkStart w:id="1375" w:name="_Toc179632725"/>
      <w:bookmarkEnd w:id="1375"/>
      <w:bookmarkStart w:id="1376" w:name="_Toc282787510"/>
      <w:bookmarkEnd w:id="1376"/>
      <w:bookmarkStart w:id="1377" w:name="_Toc288491586"/>
      <w:r>
        <w:rPr>
          <w:rFonts w:hint="eastAsia" w:ascii="宋体" w:hAnsi="宋体" w:eastAsia="宋体" w:cs="宋体"/>
          <w:color w:val="000000"/>
          <w:kern w:val="2"/>
          <w:sz w:val="21"/>
          <w:szCs w:val="21"/>
          <w:lang w:val="en-US" w:eastAsia="zh-CN" w:bidi="ar"/>
        </w:rPr>
        <w:t>15.1  变更的范围和内容</w:t>
      </w:r>
      <w:bookmarkEnd w:id="137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除专用合同条款另有约定外，在履行合同中发生以下情形之一，应按照本条规定进行变更。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（1）取消合同中任何一项工作，但被取消的工作不能转由发包人或其他人实施，由于承包人违约造成的情况除外；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（2）改变合同中任何一项工作的质量或其他特性；</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（3）改变合同工程的基线、标高、位置或尺寸；</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（4）改变合同中任何一项工作的施工时间或改变已批准的施工工艺或顺序；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（5）为完成工程需要追加的额外工作。</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78" w:name="_Toc282779571"/>
      <w:bookmarkEnd w:id="1378"/>
      <w:bookmarkStart w:id="1379" w:name="_Toc288491587"/>
      <w:bookmarkEnd w:id="1379"/>
      <w:bookmarkStart w:id="1380" w:name="_Toc179632726"/>
      <w:bookmarkEnd w:id="1380"/>
      <w:bookmarkStart w:id="1381" w:name="_Toc237923887"/>
      <w:bookmarkEnd w:id="1381"/>
      <w:bookmarkStart w:id="1382" w:name="_Toc283794259"/>
      <w:bookmarkEnd w:id="1382"/>
      <w:bookmarkStart w:id="1383" w:name="_Toc144974677"/>
      <w:bookmarkEnd w:id="1383"/>
      <w:bookmarkStart w:id="1384" w:name="_Toc152045708"/>
      <w:bookmarkEnd w:id="1384"/>
      <w:bookmarkStart w:id="1385" w:name="_Toc152042486"/>
      <w:bookmarkEnd w:id="1385"/>
      <w:bookmarkStart w:id="1386" w:name="_Toc282787511"/>
      <w:bookmarkEnd w:id="1386"/>
      <w:bookmarkStart w:id="1387" w:name="_Toc287853411"/>
      <w:bookmarkEnd w:id="1387"/>
      <w:bookmarkStart w:id="1388" w:name="_Toc282779062"/>
      <w:r>
        <w:rPr>
          <w:rFonts w:hint="eastAsia" w:ascii="宋体" w:hAnsi="宋体" w:eastAsia="宋体" w:cs="宋体"/>
          <w:color w:val="000000"/>
          <w:kern w:val="2"/>
          <w:sz w:val="21"/>
          <w:szCs w:val="21"/>
          <w:lang w:val="en-US" w:eastAsia="zh-CN" w:bidi="ar"/>
        </w:rPr>
        <w:t>15.2  变更权</w:t>
      </w:r>
      <w:bookmarkEnd w:id="138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在履行合同过程中，经发包人同意，监理人可按第15.3款约定的变更程序向承包人作出变更指示，承包人应遵照执行。没有监理人的变更指示，承包人不得擅自变更。</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389" w:name="_Toc282779063"/>
      <w:bookmarkEnd w:id="1389"/>
      <w:bookmarkStart w:id="1390" w:name="_Toc288491588"/>
      <w:bookmarkEnd w:id="1390"/>
      <w:bookmarkStart w:id="1391" w:name="_Toc237923888"/>
      <w:bookmarkEnd w:id="1391"/>
      <w:bookmarkStart w:id="1392" w:name="_Toc152042487"/>
      <w:bookmarkEnd w:id="1392"/>
      <w:bookmarkStart w:id="1393" w:name="_Toc283794260"/>
      <w:bookmarkEnd w:id="1393"/>
      <w:bookmarkStart w:id="1394" w:name="_Toc179632727"/>
      <w:bookmarkEnd w:id="1394"/>
      <w:bookmarkStart w:id="1395" w:name="_Toc287853412"/>
      <w:bookmarkEnd w:id="1395"/>
      <w:bookmarkStart w:id="1396" w:name="_Toc152045709"/>
      <w:bookmarkEnd w:id="1396"/>
      <w:bookmarkStart w:id="1397" w:name="_Toc144974678"/>
      <w:bookmarkEnd w:id="1397"/>
      <w:bookmarkStart w:id="1398" w:name="_Toc282779572"/>
      <w:bookmarkEnd w:id="1398"/>
      <w:bookmarkStart w:id="1399" w:name="_Toc282787512"/>
      <w:r>
        <w:rPr>
          <w:rFonts w:hint="eastAsia" w:ascii="宋体" w:hAnsi="宋体" w:eastAsia="宋体" w:cs="宋体"/>
          <w:color w:val="000000"/>
          <w:kern w:val="2"/>
          <w:sz w:val="21"/>
          <w:szCs w:val="21"/>
          <w:lang w:val="en-US" w:eastAsia="zh-CN" w:bidi="ar"/>
        </w:rPr>
        <w:t>15.3  变更程序</w:t>
      </w:r>
      <w:bookmarkEnd w:id="139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15.3.1  变更的提出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（2）在合同履行过程中，发生第15.1款约定情形的，监理人应按照第15.3.3项约定向承包人发出变更指示。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（4）若承包人收到监理人的变更意向书后认为难以实施此项变更，应立即通知监理人，说明原因并附详细依据。监理人与承包人和发包人协商后确定撤销、改变或不改变原变更意向书。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15.3.2  变更估价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（2）变更工作影响工期的，承包人应提出调整工期的具体细节。监理人认为有必要时，可要求承包人提交要求提前或延长工期的施工进度计划及相应施工措施等详细资料。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（3）除专用合同条款对期限另有约定外，监理人收到承包人变更报价书后的14天内，根据第15.4款约定的估价原则，按照第3.5款商定或确定变更价格。</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15.3.3  变更指示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（1）变更指示只能由监理人发出。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（2）变更指示应说明变更的目的、范围、变更内容以及变更的工程量及其进度和技术要求，并附有关图纸和文件。承包人收到变更指示后，应按变更指示进行变更工作。</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00" w:name="_Toc282779064"/>
      <w:bookmarkEnd w:id="1400"/>
      <w:bookmarkStart w:id="1401" w:name="_Toc282787513"/>
      <w:bookmarkEnd w:id="1401"/>
      <w:bookmarkStart w:id="1402" w:name="_Toc283794261"/>
      <w:bookmarkEnd w:id="1402"/>
      <w:bookmarkStart w:id="1403" w:name="_Toc144974679"/>
      <w:bookmarkEnd w:id="1403"/>
      <w:bookmarkStart w:id="1404" w:name="_Toc282779573"/>
      <w:bookmarkEnd w:id="1404"/>
      <w:bookmarkStart w:id="1405" w:name="_Toc287853413"/>
      <w:bookmarkEnd w:id="1405"/>
      <w:bookmarkStart w:id="1406" w:name="_Toc237923889"/>
      <w:bookmarkEnd w:id="1406"/>
      <w:bookmarkStart w:id="1407" w:name="_Toc179632728"/>
      <w:bookmarkEnd w:id="1407"/>
      <w:bookmarkStart w:id="1408" w:name="_Toc152045710"/>
      <w:bookmarkEnd w:id="1408"/>
      <w:bookmarkStart w:id="1409" w:name="_Toc288491589"/>
      <w:bookmarkEnd w:id="1409"/>
      <w:bookmarkStart w:id="1410" w:name="_Toc152042488"/>
      <w:r>
        <w:rPr>
          <w:rFonts w:hint="eastAsia" w:ascii="宋体" w:hAnsi="宋体" w:eastAsia="宋体" w:cs="宋体"/>
          <w:color w:val="000000"/>
          <w:kern w:val="2"/>
          <w:sz w:val="21"/>
          <w:szCs w:val="21"/>
          <w:lang w:val="en-US" w:eastAsia="zh-CN" w:bidi="ar"/>
        </w:rPr>
        <w:t>15.4  变更的估价原则</w:t>
      </w:r>
      <w:bookmarkEnd w:id="141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除项目专用合同条款另有约定外，因变更引起的价格调整按照本款约定处理。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15.4.1  如果取消某项工作，则该项工作的总额价不予支付；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15.4.2  如养护路段对工程量清单中子目部分内容需实行专项工程的，则对实施专项工程子目的单价按里程及时间进行折算，相应工程子目单价每月折减2%。（适用于小修保养工程项目）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15.4.3  已标价工程量清单中有适用于变更工作的子目的，采用该子目的单价。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15.4.4  已标价工程量清单中无适用于变更工作的子目，但有类似子目的，可在合理范围内参照类似子目的单价，由监理人按第3.5款商定或确定变更工作的单价。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15.4.5  已标价工程量清单中无适用或类似子目的单价，可在综合考虑承包人在投标时所提供的单价分析表的基础上，由监理人按第3.5款商定或确定变更工作的单价。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15.4.6  如果本工程的变更指示是因承包人过错、承包人违反合同或承包人责任造成的，则这种违约引起的任何额外费用应由承包人承担。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11" w:name="_Toc282779065"/>
      <w:bookmarkEnd w:id="1411"/>
      <w:bookmarkStart w:id="1412" w:name="_Toc179632729"/>
      <w:bookmarkEnd w:id="1412"/>
      <w:bookmarkStart w:id="1413" w:name="_Toc152042489"/>
      <w:bookmarkEnd w:id="1413"/>
      <w:bookmarkStart w:id="1414" w:name="_Toc144974680"/>
      <w:bookmarkEnd w:id="1414"/>
      <w:bookmarkStart w:id="1415" w:name="_Toc288491590"/>
      <w:bookmarkEnd w:id="1415"/>
      <w:bookmarkStart w:id="1416" w:name="_Toc237923890"/>
      <w:bookmarkEnd w:id="1416"/>
      <w:bookmarkStart w:id="1417" w:name="_Toc282787514"/>
      <w:bookmarkEnd w:id="1417"/>
      <w:bookmarkStart w:id="1418" w:name="_Toc287853414"/>
      <w:bookmarkEnd w:id="1418"/>
      <w:bookmarkStart w:id="1419" w:name="_Toc152045711"/>
      <w:bookmarkEnd w:id="1419"/>
      <w:bookmarkStart w:id="1420" w:name="_Toc283794262"/>
      <w:bookmarkEnd w:id="1420"/>
      <w:bookmarkStart w:id="1421" w:name="_Toc282779574"/>
      <w:r>
        <w:rPr>
          <w:rFonts w:hint="eastAsia" w:ascii="宋体" w:hAnsi="宋体" w:eastAsia="宋体" w:cs="宋体"/>
          <w:color w:val="000000"/>
          <w:kern w:val="2"/>
          <w:sz w:val="21"/>
          <w:szCs w:val="21"/>
          <w:lang w:val="en-US" w:eastAsia="zh-CN" w:bidi="ar"/>
        </w:rPr>
        <w:t>15.5  承包人的合理化建议</w:t>
      </w:r>
      <w:bookmarkEnd w:id="142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15.5.2  承包人提出的合理化建议降低了合同价格、缩短了工期或者提高了工程经济效益的，发包人可按国家有关规定在专用合同条款中约定给予奖励。</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22" w:name="_Toc287853415"/>
      <w:bookmarkEnd w:id="1422"/>
      <w:bookmarkStart w:id="1423" w:name="_Toc237923891"/>
      <w:bookmarkEnd w:id="1423"/>
      <w:bookmarkStart w:id="1424" w:name="_Toc288491591"/>
      <w:bookmarkEnd w:id="1424"/>
      <w:bookmarkStart w:id="1425" w:name="_Toc144974681"/>
      <w:bookmarkEnd w:id="1425"/>
      <w:bookmarkStart w:id="1426" w:name="_Toc152042490"/>
      <w:bookmarkEnd w:id="1426"/>
      <w:bookmarkStart w:id="1427" w:name="_Toc282779575"/>
      <w:bookmarkEnd w:id="1427"/>
      <w:bookmarkStart w:id="1428" w:name="_Toc282787515"/>
      <w:bookmarkEnd w:id="1428"/>
      <w:bookmarkStart w:id="1429" w:name="_Toc282779066"/>
      <w:bookmarkEnd w:id="1429"/>
      <w:bookmarkStart w:id="1430" w:name="_Toc283794263"/>
      <w:bookmarkEnd w:id="1430"/>
      <w:bookmarkStart w:id="1431" w:name="_Toc152045712"/>
      <w:bookmarkEnd w:id="1431"/>
      <w:bookmarkStart w:id="1432" w:name="_Toc179632730"/>
      <w:r>
        <w:rPr>
          <w:rFonts w:hint="eastAsia" w:ascii="宋体" w:hAnsi="宋体" w:eastAsia="宋体" w:cs="宋体"/>
          <w:color w:val="000000"/>
          <w:kern w:val="2"/>
          <w:sz w:val="21"/>
          <w:szCs w:val="21"/>
          <w:lang w:val="en-US" w:eastAsia="zh-CN" w:bidi="ar"/>
        </w:rPr>
        <w:t>15.6  暂列金额</w:t>
      </w:r>
      <w:bookmarkEnd w:id="143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15.6.1  暂列金额应由监理人报发包人批准后指令全部或部分地使用，或者根本不予动用。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15.6.2  对于经发包人批准的每一笔暂列金额，监理人有权向承包人发出实施工程或提供材料或服务的指令。这些指令应由承包人完成，监理人应根据第15.4款约定的变更估价原则和第15.7款的规定，对合同价格进行相应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15.6.3  当监理人提出要求时，承包人应提供有关暂列金额支出的所有报价单、发票、凭证和账单或收据，除非该工作是根据已标价工程量清单列明的单价或总额价进行的估价。</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33" w:name="_Toc282779067"/>
      <w:bookmarkEnd w:id="1433"/>
      <w:bookmarkStart w:id="1434" w:name="_Toc152045713"/>
      <w:bookmarkEnd w:id="1434"/>
      <w:bookmarkStart w:id="1435" w:name="_Toc288491592"/>
      <w:bookmarkEnd w:id="1435"/>
      <w:bookmarkStart w:id="1436" w:name="_Toc283794264"/>
      <w:bookmarkEnd w:id="1436"/>
      <w:bookmarkStart w:id="1437" w:name="_Toc144974682"/>
      <w:bookmarkEnd w:id="1437"/>
      <w:bookmarkStart w:id="1438" w:name="_Toc282787516"/>
      <w:bookmarkEnd w:id="1438"/>
      <w:bookmarkStart w:id="1439" w:name="_Toc179632731"/>
      <w:bookmarkEnd w:id="1439"/>
      <w:bookmarkStart w:id="1440" w:name="_Toc152042491"/>
      <w:bookmarkEnd w:id="1440"/>
      <w:bookmarkStart w:id="1441" w:name="_Toc237923892"/>
      <w:bookmarkEnd w:id="1441"/>
      <w:bookmarkStart w:id="1442" w:name="_Toc282779576"/>
      <w:bookmarkEnd w:id="1442"/>
      <w:bookmarkStart w:id="1443" w:name="_Toc287853416"/>
      <w:r>
        <w:rPr>
          <w:rFonts w:hint="eastAsia" w:ascii="宋体" w:hAnsi="宋体" w:eastAsia="宋体" w:cs="宋体"/>
          <w:color w:val="000000"/>
          <w:kern w:val="2"/>
          <w:sz w:val="21"/>
          <w:szCs w:val="21"/>
          <w:lang w:val="en-US" w:eastAsia="zh-CN" w:bidi="ar"/>
        </w:rPr>
        <w:t>15.7  计日工</w:t>
      </w:r>
      <w:bookmarkEnd w:id="144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shd w:val="clear" w:fill="7F7F7F"/>
        </w:rPr>
      </w:pPr>
      <w:r>
        <w:rPr>
          <w:rFonts w:hint="eastAsia" w:ascii="宋体" w:hAnsi="宋体" w:eastAsia="宋体" w:cs="宋体"/>
          <w:color w:val="000000"/>
          <w:kern w:val="2"/>
          <w:sz w:val="21"/>
          <w:szCs w:val="21"/>
          <w:lang w:val="en-US" w:eastAsia="zh-CN" w:bidi="ar"/>
        </w:rPr>
        <w:t>15.7.1  发包人认为有必要时，由监理人通知承包人以计日工方式实施变更的零星工作。其价款按列入已标价工程量清单中的计日工计价子目及其单价进行计算。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15.7.2  采用计日工计价的任何一项变更工作，应从暂列金额中支付，承包人应在该项变更的实施过程中，每天提交以下报表和有关凭证报送监理人审批：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（1）工作名称、内容和数量；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（2）投入该工作所有人员的姓名、工种、级别和耗用工时；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（3）投入该工作的材料类别和数量；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（4）投入该工作的施工设备型号、台数和耗用台时；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（5）监理人要求提交的其他资料和凭证。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15.7.3  计日工由承包人汇总后，按第17.3.2项的约定列入进度付款申请单，由监理人复核并经发包人同意后列入进度付款。</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44" w:name="_Toc152045714"/>
      <w:bookmarkEnd w:id="1444"/>
      <w:bookmarkStart w:id="1445" w:name="_Toc288491593"/>
      <w:bookmarkEnd w:id="1445"/>
      <w:bookmarkStart w:id="1446" w:name="_Toc152042492"/>
      <w:bookmarkEnd w:id="1446"/>
      <w:bookmarkStart w:id="1447" w:name="_Toc282779577"/>
      <w:bookmarkEnd w:id="1447"/>
      <w:bookmarkStart w:id="1448" w:name="_Toc237923893"/>
      <w:bookmarkEnd w:id="1448"/>
      <w:bookmarkStart w:id="1449" w:name="_Toc144974683"/>
      <w:bookmarkEnd w:id="1449"/>
      <w:bookmarkStart w:id="1450" w:name="_Toc282779068"/>
      <w:bookmarkEnd w:id="1450"/>
      <w:bookmarkStart w:id="1451" w:name="_Toc287853417"/>
      <w:bookmarkEnd w:id="1451"/>
      <w:bookmarkStart w:id="1452" w:name="_Toc179632732"/>
      <w:bookmarkEnd w:id="1452"/>
      <w:bookmarkStart w:id="1453" w:name="_Toc283794265"/>
      <w:bookmarkEnd w:id="1453"/>
      <w:bookmarkStart w:id="1454" w:name="_Toc282787517"/>
      <w:r>
        <w:rPr>
          <w:rFonts w:hint="eastAsia" w:ascii="宋体" w:hAnsi="宋体" w:eastAsia="宋体" w:cs="宋体"/>
          <w:color w:val="000000"/>
          <w:kern w:val="2"/>
          <w:sz w:val="21"/>
          <w:szCs w:val="21"/>
          <w:lang w:val="en-US" w:eastAsia="zh-CN" w:bidi="ar"/>
        </w:rPr>
        <w:t>15.8  暂估价</w:t>
      </w:r>
      <w:bookmarkEnd w:id="145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455" w:name="_Toc26400"/>
      <w:bookmarkEnd w:id="1455"/>
      <w:bookmarkStart w:id="1456" w:name="_Toc144974684"/>
      <w:bookmarkEnd w:id="1456"/>
      <w:bookmarkStart w:id="1457" w:name="_Toc2855"/>
      <w:bookmarkEnd w:id="1457"/>
      <w:bookmarkStart w:id="1458" w:name="_Toc287853418"/>
      <w:bookmarkEnd w:id="1458"/>
      <w:bookmarkStart w:id="1459" w:name="_Toc3736"/>
      <w:bookmarkEnd w:id="1459"/>
      <w:bookmarkStart w:id="1460" w:name="_Toc412"/>
      <w:bookmarkEnd w:id="1460"/>
      <w:bookmarkStart w:id="1461" w:name="_Toc288491594"/>
      <w:bookmarkEnd w:id="1461"/>
      <w:bookmarkStart w:id="1462" w:name="_Toc5004"/>
      <w:bookmarkEnd w:id="1462"/>
      <w:bookmarkStart w:id="1463" w:name="_Toc18714"/>
      <w:bookmarkEnd w:id="1463"/>
      <w:bookmarkStart w:id="1464" w:name="_Toc20238"/>
      <w:bookmarkEnd w:id="1464"/>
      <w:bookmarkStart w:id="1465" w:name="_Toc7302"/>
      <w:bookmarkEnd w:id="1465"/>
      <w:bookmarkStart w:id="1466" w:name="_Toc118378087"/>
      <w:bookmarkEnd w:id="1466"/>
      <w:bookmarkStart w:id="1467" w:name="_Toc9025"/>
      <w:bookmarkEnd w:id="1467"/>
      <w:bookmarkStart w:id="1468" w:name="_Toc12041"/>
      <w:bookmarkEnd w:id="1468"/>
      <w:bookmarkStart w:id="1469" w:name="_Toc283794266"/>
      <w:bookmarkEnd w:id="1469"/>
      <w:bookmarkStart w:id="1470" w:name="_Toc282779069"/>
      <w:bookmarkEnd w:id="1470"/>
      <w:bookmarkStart w:id="1471" w:name="_Toc1380"/>
      <w:bookmarkEnd w:id="1471"/>
      <w:bookmarkStart w:id="1472" w:name="_Toc24805"/>
      <w:bookmarkEnd w:id="1472"/>
      <w:bookmarkStart w:id="1473" w:name="_Toc152045715"/>
      <w:bookmarkEnd w:id="1473"/>
      <w:bookmarkStart w:id="1474" w:name="_Toc282779578"/>
      <w:bookmarkEnd w:id="1474"/>
      <w:bookmarkStart w:id="1475" w:name="_Toc514936616"/>
      <w:bookmarkEnd w:id="1475"/>
      <w:bookmarkStart w:id="1476" w:name="_Toc152042493"/>
      <w:bookmarkEnd w:id="1476"/>
      <w:bookmarkStart w:id="1477" w:name="_Toc179632733"/>
      <w:bookmarkEnd w:id="1477"/>
      <w:bookmarkStart w:id="1478" w:name="_Toc282787518"/>
      <w:bookmarkEnd w:id="1478"/>
      <w:bookmarkStart w:id="1479" w:name="_Toc12076"/>
      <w:bookmarkEnd w:id="1479"/>
      <w:bookmarkStart w:id="1480" w:name="_Toc237923894"/>
      <w:r>
        <w:rPr>
          <w:rFonts w:hint="eastAsia" w:ascii="宋体" w:hAnsi="宋体" w:eastAsia="宋体" w:cs="宋体"/>
          <w:color w:val="000000"/>
          <w:kern w:val="2"/>
          <w:sz w:val="21"/>
          <w:szCs w:val="21"/>
          <w:lang w:val="en-US" w:eastAsia="zh-CN" w:bidi="ar"/>
        </w:rPr>
        <w:t>16．价格调整</w:t>
      </w:r>
      <w:bookmarkEnd w:id="1480"/>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81" w:name="_Toc283794267"/>
      <w:bookmarkEnd w:id="1481"/>
      <w:bookmarkStart w:id="1482" w:name="_Toc288491595"/>
      <w:bookmarkEnd w:id="1482"/>
      <w:bookmarkStart w:id="1483" w:name="_Toc152042494"/>
      <w:bookmarkEnd w:id="1483"/>
      <w:bookmarkStart w:id="1484" w:name="_Toc282779579"/>
      <w:bookmarkEnd w:id="1484"/>
      <w:bookmarkStart w:id="1485" w:name="_Toc237923895"/>
      <w:bookmarkEnd w:id="1485"/>
      <w:bookmarkStart w:id="1486" w:name="_Toc282787519"/>
      <w:bookmarkEnd w:id="1486"/>
      <w:bookmarkStart w:id="1487" w:name="_Toc179632734"/>
      <w:bookmarkEnd w:id="1487"/>
      <w:bookmarkStart w:id="1488" w:name="_Toc287853419"/>
      <w:bookmarkEnd w:id="1488"/>
      <w:bookmarkStart w:id="1489" w:name="_Toc144974685"/>
      <w:bookmarkEnd w:id="1489"/>
      <w:bookmarkStart w:id="1490" w:name="_Toc282779070"/>
      <w:bookmarkEnd w:id="1490"/>
      <w:bookmarkStart w:id="1491" w:name="_Toc152045716"/>
      <w:r>
        <w:rPr>
          <w:rFonts w:hint="eastAsia" w:ascii="宋体" w:hAnsi="宋体" w:eastAsia="宋体" w:cs="宋体"/>
          <w:color w:val="000000"/>
          <w:kern w:val="2"/>
          <w:sz w:val="21"/>
          <w:szCs w:val="21"/>
          <w:lang w:val="en-US" w:eastAsia="zh-CN" w:bidi="ar"/>
        </w:rPr>
        <w:t>16.1  物价波动引起的价格调整</w:t>
      </w:r>
      <w:bookmarkEnd w:id="149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在养护工程合同执行期间（包括工期拖延期间），由于人工、材料价格的上涨而引起工程施工成本增加的风险由承包人自行承担，合同价格不会因此而调整。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除专用合同条款另有约定外，因物价波动引起的价格调整按照本款约定处理。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16.1.1  采用价格指数调整价格差额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16.1.1.1  价格调整公式</w:t>
      </w:r>
    </w:p>
    <w:p>
      <w:pPr>
        <w:keepNext w:val="0"/>
        <w:keepLines w:val="0"/>
        <w:widowControl w:val="0"/>
        <w:suppressLineNumbers w:val="0"/>
        <w:spacing w:before="0" w:beforeAutospacing="0" w:after="120" w:afterLines="5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因人工、材料和设备等价格波动影响合同价格时，根据投标函附录中的价格指数和权重表约定的数据，按以下公式计算差额并调整合同价格。</w:t>
      </w:r>
    </w:p>
    <w:p>
      <w:pPr>
        <w:keepNext w:val="0"/>
        <w:keepLines w:val="0"/>
        <w:widowControl w:val="0"/>
        <w:suppressLineNumbers w:val="0"/>
        <w:autoSpaceDE w:val="0"/>
        <w:autoSpaceDN w:val="0"/>
        <w:adjustRightInd w:val="0"/>
        <w:spacing w:before="0" w:beforeAutospacing="0" w:after="0" w:afterAutospacing="0" w:line="400" w:lineRule="exact"/>
        <w:ind w:left="0" w:right="249" w:firstLine="945" w:firstLineChars="450"/>
        <w:jc w:val="both"/>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drawing>
          <wp:inline distT="0" distB="0" distL="114300" distR="114300">
            <wp:extent cx="114300" cy="219075"/>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0"/>
                    <a:stretch>
                      <a:fillRect/>
                    </a:stretch>
                  </pic:blipFill>
                  <pic:spPr>
                    <a:xfrm>
                      <a:off x="0" y="0"/>
                      <a:ext cx="1143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drawing>
          <wp:inline distT="0" distB="0" distL="114300" distR="114300">
            <wp:extent cx="4029075" cy="504825"/>
            <wp:effectExtent l="0" t="0" r="9525" b="8890"/>
            <wp:docPr id="5"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7"/>
                    <pic:cNvPicPr>
                      <a:picLocks noChangeAspect="1"/>
                    </pic:cNvPicPr>
                  </pic:nvPicPr>
                  <pic:blipFill>
                    <a:blip r:embed="rId11"/>
                    <a:stretch>
                      <a:fillRect/>
                    </a:stretch>
                  </pic:blipFill>
                  <pic:spPr>
                    <a:xfrm>
                      <a:off x="0" y="0"/>
                      <a:ext cx="4029075" cy="50482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式中： △</w:t>
      </w:r>
      <w:r>
        <w:rPr>
          <w:rFonts w:hint="eastAsia" w:ascii="宋体" w:hAnsi="宋体" w:eastAsia="宋体" w:cs="宋体"/>
          <w:i/>
          <w:iCs w:val="0"/>
          <w:color w:val="000000"/>
          <w:kern w:val="2"/>
          <w:sz w:val="21"/>
          <w:szCs w:val="21"/>
          <w:lang w:val="en-US" w:eastAsia="zh-CN" w:bidi="ar"/>
        </w:rPr>
        <w:t>P</w:t>
      </w:r>
      <w:r>
        <w:rPr>
          <w:rFonts w:hint="eastAsia" w:ascii="宋体" w:hAnsi="宋体" w:eastAsia="宋体" w:cs="宋体"/>
          <w:color w:val="000000"/>
          <w:kern w:val="2"/>
          <w:sz w:val="21"/>
          <w:szCs w:val="21"/>
          <w:lang w:val="en-US" w:eastAsia="zh-CN" w:bidi="ar"/>
        </w:rPr>
        <w:t xml:space="preserve"> — 需调整的价格差额；</w:t>
      </w:r>
    </w:p>
    <w:p>
      <w:pPr>
        <w:keepNext w:val="0"/>
        <w:keepLines w:val="0"/>
        <w:widowControl w:val="0"/>
        <w:suppressLineNumbers w:val="0"/>
        <w:spacing w:before="0" w:beforeAutospacing="0" w:after="0" w:afterAutospacing="0" w:line="400" w:lineRule="exact"/>
        <w:ind w:left="0" w:right="0" w:firstLine="1155" w:firstLineChars="550"/>
        <w:jc w:val="both"/>
        <w:rPr>
          <w:rFonts w:hint="eastAsia" w:ascii="宋体" w:hAnsi="宋体" w:eastAsia="宋体" w:cs="宋体"/>
          <w:color w:val="000000"/>
          <w:kern w:val="2"/>
          <w:sz w:val="21"/>
          <w:szCs w:val="21"/>
        </w:rPr>
      </w:pPr>
      <w:r>
        <w:rPr>
          <w:rFonts w:hint="eastAsia" w:ascii="宋体" w:hAnsi="宋体" w:eastAsia="宋体" w:cs="宋体"/>
          <w:i/>
          <w:iCs w:val="0"/>
          <w:color w:val="000000"/>
          <w:kern w:val="2"/>
          <w:sz w:val="21"/>
          <w:szCs w:val="21"/>
          <w:lang w:val="en-US" w:eastAsia="zh-CN" w:bidi="ar"/>
        </w:rPr>
        <w:t>P</w:t>
      </w:r>
      <w:r>
        <w:rPr>
          <w:rFonts w:hint="eastAsia" w:ascii="宋体" w:hAnsi="宋体" w:eastAsia="宋体" w:cs="宋体"/>
          <w:color w:val="000000"/>
          <w:kern w:val="2"/>
          <w:sz w:val="21"/>
          <w:szCs w:val="21"/>
          <w:vertAlign w:val="subscript"/>
          <w:lang w:val="en-US" w:eastAsia="zh-CN" w:bidi="ar"/>
        </w:rPr>
        <w:t>0</w:t>
      </w:r>
      <w:r>
        <w:rPr>
          <w:rFonts w:hint="eastAsia" w:ascii="宋体" w:hAnsi="宋体" w:eastAsia="宋体" w:cs="宋体"/>
          <w:color w:val="000000"/>
          <w:kern w:val="2"/>
          <w:sz w:val="21"/>
          <w:szCs w:val="21"/>
          <w:lang w:val="en-US" w:eastAsia="zh-CN" w:bidi="ar"/>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keepNext w:val="0"/>
        <w:keepLines w:val="0"/>
        <w:widowControl w:val="0"/>
        <w:suppressLineNumbers w:val="0"/>
        <w:spacing w:before="0" w:beforeAutospacing="0" w:after="0" w:afterAutospacing="0" w:line="400" w:lineRule="exact"/>
        <w:ind w:left="0" w:right="0" w:firstLine="1155" w:firstLineChars="550"/>
        <w:jc w:val="both"/>
        <w:rPr>
          <w:rFonts w:hint="eastAsia" w:ascii="宋体" w:hAnsi="宋体" w:eastAsia="宋体" w:cs="宋体"/>
          <w:color w:val="000000"/>
          <w:kern w:val="2"/>
          <w:sz w:val="21"/>
          <w:szCs w:val="21"/>
        </w:rPr>
      </w:pPr>
      <w:bookmarkStart w:id="1492" w:name="_Toc144974686"/>
      <w:bookmarkEnd w:id="1492"/>
      <w:bookmarkStart w:id="1493" w:name="_Toc152042495"/>
      <w:r>
        <w:rPr>
          <w:rFonts w:hint="eastAsia" w:ascii="宋体" w:hAnsi="宋体" w:eastAsia="宋体" w:cs="宋体"/>
          <w:i/>
          <w:iCs w:val="0"/>
          <w:color w:val="000000"/>
          <w:kern w:val="2"/>
          <w:sz w:val="21"/>
          <w:szCs w:val="21"/>
          <w:lang w:val="en-US" w:eastAsia="zh-CN" w:bidi="ar"/>
        </w:rPr>
        <w:t>A</w:t>
      </w:r>
      <w:bookmarkEnd w:id="1493"/>
      <w:r>
        <w:rPr>
          <w:rFonts w:hint="eastAsia" w:ascii="宋体" w:hAnsi="宋体" w:eastAsia="宋体" w:cs="宋体"/>
          <w:color w:val="000000"/>
          <w:kern w:val="2"/>
          <w:sz w:val="21"/>
          <w:szCs w:val="21"/>
          <w:lang w:val="en-US" w:eastAsia="zh-CN" w:bidi="ar"/>
        </w:rPr>
        <w:t xml:space="preserve"> — 定值权重（即不调部分的权重），</w:t>
      </w:r>
      <w:r>
        <w:rPr>
          <w:rFonts w:hint="eastAsia" w:ascii="宋体" w:hAnsi="宋体" w:eastAsia="宋体" w:cs="宋体"/>
          <w:i/>
          <w:iCs w:val="0"/>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=1-（</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1</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3</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n</w:t>
      </w:r>
      <w:r>
        <w:rPr>
          <w:rFonts w:hint="eastAsia" w:ascii="宋体" w:hAnsi="宋体" w:eastAsia="宋体" w:cs="宋体"/>
          <w:color w:val="000000"/>
          <w:kern w:val="2"/>
          <w:sz w:val="21"/>
          <w:szCs w:val="21"/>
          <w:lang w:val="en-US" w:eastAsia="zh-CN" w:bidi="ar"/>
        </w:rPr>
        <w:t>）；</w:t>
      </w:r>
    </w:p>
    <w:p>
      <w:pPr>
        <w:keepNext w:val="0"/>
        <w:keepLines w:val="0"/>
        <w:widowControl w:val="0"/>
        <w:suppressLineNumbers w:val="0"/>
        <w:spacing w:before="0" w:beforeAutospacing="0" w:after="0" w:afterAutospacing="0" w:line="400" w:lineRule="exact"/>
        <w:ind w:left="0" w:right="0" w:firstLine="1155" w:firstLineChars="550"/>
        <w:jc w:val="both"/>
        <w:rPr>
          <w:rFonts w:hint="eastAsia" w:ascii="宋体" w:hAnsi="宋体" w:eastAsia="宋体" w:cs="宋体"/>
          <w:color w:val="000000"/>
          <w:kern w:val="2"/>
          <w:sz w:val="21"/>
          <w:szCs w:val="21"/>
        </w:rPr>
      </w:pP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1</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2</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3</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B</w:t>
      </w:r>
      <w:r>
        <w:rPr>
          <w:rFonts w:hint="eastAsia" w:ascii="宋体" w:hAnsi="宋体" w:eastAsia="宋体" w:cs="宋体"/>
          <w:color w:val="000000"/>
          <w:kern w:val="2"/>
          <w:sz w:val="21"/>
          <w:szCs w:val="21"/>
          <w:vertAlign w:val="subscript"/>
          <w:lang w:val="en-US" w:eastAsia="zh-CN" w:bidi="ar"/>
        </w:rPr>
        <w:t>n</w:t>
      </w:r>
      <w:r>
        <w:rPr>
          <w:rFonts w:hint="eastAsia" w:ascii="宋体" w:hAnsi="宋体" w:eastAsia="宋体" w:cs="宋体"/>
          <w:color w:val="000000"/>
          <w:kern w:val="2"/>
          <w:sz w:val="21"/>
          <w:szCs w:val="21"/>
          <w:lang w:val="en-US" w:eastAsia="zh-CN" w:bidi="ar"/>
        </w:rPr>
        <w:t xml:space="preserve"> — 各可调因子的变值权重（即可调部分的权重）为各可调因子在投标函投标总报价中所占的比例；</w:t>
      </w:r>
    </w:p>
    <w:p>
      <w:pPr>
        <w:keepNext w:val="0"/>
        <w:keepLines w:val="0"/>
        <w:widowControl w:val="0"/>
        <w:suppressLineNumbers w:val="0"/>
        <w:spacing w:before="0" w:beforeAutospacing="0" w:after="0" w:afterAutospacing="0" w:line="400" w:lineRule="exact"/>
        <w:ind w:left="0" w:right="0" w:firstLine="1155" w:firstLineChars="550"/>
        <w:jc w:val="both"/>
        <w:rPr>
          <w:rFonts w:hint="eastAsia" w:ascii="宋体" w:hAnsi="宋体" w:eastAsia="宋体" w:cs="宋体"/>
          <w:color w:val="000000"/>
          <w:kern w:val="2"/>
          <w:sz w:val="21"/>
          <w:szCs w:val="21"/>
        </w:rPr>
      </w:pP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t1</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t2</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t3</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tn</w:t>
      </w:r>
      <w:r>
        <w:rPr>
          <w:rFonts w:hint="eastAsia" w:ascii="宋体" w:hAnsi="宋体" w:eastAsia="宋体" w:cs="宋体"/>
          <w:color w:val="000000"/>
          <w:kern w:val="2"/>
          <w:sz w:val="21"/>
          <w:szCs w:val="21"/>
          <w:lang w:val="en-US" w:eastAsia="zh-CN" w:bidi="ar"/>
        </w:rPr>
        <w:t xml:space="preserve"> — 各可调因子的现行价格指数，指第17.3.3项、第17.5.2项和第17.6.2项约定的付款证书相关周期最后一天的前42天的各可调因子的价格指数；</w:t>
      </w:r>
    </w:p>
    <w:p>
      <w:pPr>
        <w:keepNext w:val="0"/>
        <w:keepLines w:val="0"/>
        <w:widowControl w:val="0"/>
        <w:suppressLineNumbers w:val="0"/>
        <w:spacing w:before="0" w:beforeAutospacing="0" w:after="0" w:afterAutospacing="0" w:line="400" w:lineRule="exact"/>
        <w:ind w:left="0" w:right="0" w:firstLine="1155" w:firstLineChars="550"/>
        <w:jc w:val="both"/>
        <w:rPr>
          <w:rFonts w:hint="eastAsia" w:ascii="宋体" w:hAnsi="宋体" w:eastAsia="宋体" w:cs="宋体"/>
          <w:color w:val="000000"/>
          <w:kern w:val="2"/>
          <w:sz w:val="21"/>
          <w:szCs w:val="21"/>
        </w:rPr>
      </w:pP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01</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02</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03</w:t>
      </w:r>
      <w:r>
        <w:rPr>
          <w:rFonts w:hint="eastAsia" w:ascii="宋体" w:hAnsi="宋体" w:eastAsia="宋体" w:cs="宋体"/>
          <w:color w:val="000000"/>
          <w:kern w:val="2"/>
          <w:sz w:val="21"/>
          <w:szCs w:val="21"/>
          <w:lang w:val="en-US" w:eastAsia="zh-CN" w:bidi="ar"/>
        </w:rPr>
        <w:t>……</w:t>
      </w:r>
      <w:r>
        <w:rPr>
          <w:rFonts w:hint="eastAsia" w:ascii="宋体" w:hAnsi="宋体" w:eastAsia="宋体" w:cs="宋体"/>
          <w:i/>
          <w:iCs w:val="0"/>
          <w:color w:val="000000"/>
          <w:kern w:val="2"/>
          <w:sz w:val="21"/>
          <w:szCs w:val="21"/>
          <w:lang w:val="en-US" w:eastAsia="zh-CN" w:bidi="ar"/>
        </w:rPr>
        <w:t>F</w:t>
      </w:r>
      <w:r>
        <w:rPr>
          <w:rFonts w:hint="eastAsia" w:ascii="宋体" w:hAnsi="宋体" w:eastAsia="宋体" w:cs="宋体"/>
          <w:color w:val="000000"/>
          <w:kern w:val="2"/>
          <w:sz w:val="21"/>
          <w:szCs w:val="21"/>
          <w:vertAlign w:val="subscript"/>
          <w:lang w:val="en-US" w:eastAsia="zh-CN" w:bidi="ar"/>
        </w:rPr>
        <w:t>0n</w:t>
      </w:r>
      <w:r>
        <w:rPr>
          <w:rFonts w:hint="eastAsia" w:ascii="宋体" w:hAnsi="宋体" w:eastAsia="宋体" w:cs="宋体"/>
          <w:color w:val="000000"/>
          <w:kern w:val="2"/>
          <w:sz w:val="21"/>
          <w:szCs w:val="21"/>
          <w:lang w:val="en-US" w:eastAsia="zh-CN" w:bidi="ar"/>
        </w:rPr>
        <w:t xml:space="preserve"> — 各可调因子的基本价格指数，指基准日期的各可调因子的价格指数。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以上价格调整公式中的各可调因子、定值权重，以及基本价格指数及其来源，由发包人在投标函附录价格指数和权重表中约定。价格指数应首先采用国家或省、市价格有关部门或统计部门提供的价格指数，缺乏上述价格指数时，可采用上述部门提供的价格代替。</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16.1.1.2  暂时确定调整差额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在计算调整差额时得不到现行价格指数的，可暂用上一次价格指数计算，并在以后的付款中再按实际价格指数进行调整。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16.1.1.3  权重的调整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按第15.1款约定的变更导致原定合同中的权重不合理时，由监理人与承包人和发包人协商后进行调整。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16.1.1.4  承包人工期延误后的价格调整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16.1.2  采用造价信息调整价格差额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494" w:name="_Toc282787520"/>
      <w:bookmarkEnd w:id="1494"/>
      <w:bookmarkStart w:id="1495" w:name="_Toc283794268"/>
      <w:bookmarkEnd w:id="1495"/>
      <w:bookmarkStart w:id="1496" w:name="_Toc282779071"/>
      <w:bookmarkEnd w:id="1496"/>
      <w:bookmarkStart w:id="1497" w:name="_Toc288491596"/>
      <w:bookmarkEnd w:id="1497"/>
      <w:bookmarkStart w:id="1498" w:name="_Toc287853420"/>
      <w:bookmarkEnd w:id="1498"/>
      <w:bookmarkStart w:id="1499" w:name="_Toc237923896"/>
      <w:bookmarkEnd w:id="1499"/>
      <w:bookmarkStart w:id="1500" w:name="_Toc144974688"/>
      <w:bookmarkEnd w:id="1500"/>
      <w:bookmarkStart w:id="1501" w:name="_Toc152045717"/>
      <w:bookmarkEnd w:id="1501"/>
      <w:bookmarkStart w:id="1502" w:name="_Toc152042496"/>
      <w:bookmarkEnd w:id="1502"/>
      <w:bookmarkStart w:id="1503" w:name="_Toc282779580"/>
      <w:bookmarkEnd w:id="1503"/>
      <w:bookmarkStart w:id="1504" w:name="_Toc179632735"/>
      <w:r>
        <w:rPr>
          <w:rFonts w:hint="eastAsia" w:ascii="宋体" w:hAnsi="宋体" w:eastAsia="宋体" w:cs="宋体"/>
          <w:color w:val="000000"/>
          <w:kern w:val="2"/>
          <w:sz w:val="21"/>
          <w:szCs w:val="21"/>
          <w:lang w:val="en-US" w:eastAsia="zh-CN" w:bidi="ar"/>
        </w:rPr>
        <w:t>16.2  法律变化引起的价格调整</w:t>
      </w:r>
      <w:bookmarkEnd w:id="150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505" w:name="_Toc237923897"/>
      <w:bookmarkEnd w:id="1505"/>
      <w:bookmarkStart w:id="1506" w:name="_Toc179632736"/>
      <w:bookmarkEnd w:id="1506"/>
      <w:bookmarkStart w:id="1507" w:name="_Toc27442"/>
      <w:bookmarkEnd w:id="1507"/>
      <w:bookmarkStart w:id="1508" w:name="_Toc23160"/>
      <w:bookmarkEnd w:id="1508"/>
      <w:bookmarkStart w:id="1509" w:name="_Toc24435"/>
      <w:bookmarkEnd w:id="1509"/>
      <w:bookmarkStart w:id="1510" w:name="_Toc144974689"/>
      <w:bookmarkEnd w:id="1510"/>
      <w:bookmarkStart w:id="1511" w:name="_Toc29607"/>
      <w:bookmarkEnd w:id="1511"/>
      <w:bookmarkStart w:id="1512" w:name="_Toc514936617"/>
      <w:bookmarkEnd w:id="1512"/>
      <w:bookmarkStart w:id="1513" w:name="_Toc20907"/>
      <w:bookmarkEnd w:id="1513"/>
      <w:bookmarkStart w:id="1514" w:name="_Toc23920"/>
      <w:bookmarkEnd w:id="1514"/>
      <w:bookmarkStart w:id="1515" w:name="_Toc22181"/>
      <w:bookmarkEnd w:id="1515"/>
      <w:bookmarkStart w:id="1516" w:name="_Toc2954"/>
      <w:bookmarkEnd w:id="1516"/>
      <w:bookmarkStart w:id="1517" w:name="_Toc282787521"/>
      <w:bookmarkEnd w:id="1517"/>
      <w:bookmarkStart w:id="1518" w:name="_Toc21744"/>
      <w:bookmarkEnd w:id="1518"/>
      <w:bookmarkStart w:id="1519" w:name="_Toc152045718"/>
      <w:bookmarkEnd w:id="1519"/>
      <w:bookmarkStart w:id="1520" w:name="_Toc118378088"/>
      <w:bookmarkEnd w:id="1520"/>
      <w:bookmarkStart w:id="1521" w:name="_Toc287853421"/>
      <w:bookmarkEnd w:id="1521"/>
      <w:bookmarkStart w:id="1522" w:name="_Toc7896"/>
      <w:bookmarkEnd w:id="1522"/>
      <w:bookmarkStart w:id="1523" w:name="_Toc6047"/>
      <w:bookmarkEnd w:id="1523"/>
      <w:bookmarkStart w:id="1524" w:name="_Toc26629"/>
      <w:bookmarkEnd w:id="1524"/>
      <w:bookmarkStart w:id="1525" w:name="_Toc282779581"/>
      <w:bookmarkEnd w:id="1525"/>
      <w:bookmarkStart w:id="1526" w:name="_Toc4000"/>
      <w:bookmarkEnd w:id="1526"/>
      <w:bookmarkStart w:id="1527" w:name="_Toc288491597"/>
      <w:bookmarkEnd w:id="1527"/>
      <w:bookmarkStart w:id="1528" w:name="_Toc152042497"/>
      <w:bookmarkEnd w:id="1528"/>
      <w:bookmarkStart w:id="1529" w:name="_Toc283794269"/>
      <w:bookmarkEnd w:id="1529"/>
      <w:bookmarkStart w:id="1530" w:name="_Toc282779072"/>
      <w:r>
        <w:rPr>
          <w:rFonts w:hint="eastAsia" w:ascii="宋体" w:hAnsi="宋体" w:eastAsia="宋体" w:cs="宋体"/>
          <w:color w:val="000000"/>
          <w:kern w:val="2"/>
          <w:sz w:val="21"/>
          <w:szCs w:val="21"/>
          <w:lang w:val="en-US" w:eastAsia="zh-CN" w:bidi="ar"/>
        </w:rPr>
        <w:t>17．计量与支付</w:t>
      </w:r>
      <w:bookmarkEnd w:id="1530"/>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31" w:name="_Toc152042498"/>
      <w:bookmarkEnd w:id="1531"/>
      <w:bookmarkStart w:id="1532" w:name="_Toc179632737"/>
      <w:bookmarkEnd w:id="1532"/>
      <w:bookmarkStart w:id="1533" w:name="_Toc282779582"/>
      <w:bookmarkEnd w:id="1533"/>
      <w:bookmarkStart w:id="1534" w:name="_Toc144974690"/>
      <w:bookmarkEnd w:id="1534"/>
      <w:bookmarkStart w:id="1535" w:name="_Toc283794270"/>
      <w:bookmarkEnd w:id="1535"/>
      <w:bookmarkStart w:id="1536" w:name="_Toc282787522"/>
      <w:bookmarkEnd w:id="1536"/>
      <w:bookmarkStart w:id="1537" w:name="_Toc282779073"/>
      <w:bookmarkEnd w:id="1537"/>
      <w:bookmarkStart w:id="1538" w:name="_Toc288491598"/>
      <w:bookmarkEnd w:id="1538"/>
      <w:bookmarkStart w:id="1539" w:name="_Toc152045719"/>
      <w:bookmarkEnd w:id="1539"/>
      <w:bookmarkStart w:id="1540" w:name="_Toc237923898"/>
      <w:bookmarkEnd w:id="1540"/>
      <w:bookmarkStart w:id="1541" w:name="_Toc287853422"/>
      <w:r>
        <w:rPr>
          <w:rFonts w:hint="eastAsia" w:ascii="宋体" w:hAnsi="宋体" w:eastAsia="宋体" w:cs="宋体"/>
          <w:color w:val="000000"/>
          <w:kern w:val="2"/>
          <w:sz w:val="21"/>
          <w:szCs w:val="21"/>
          <w:lang w:val="en-US" w:eastAsia="zh-CN" w:bidi="ar"/>
        </w:rPr>
        <w:t>17.1  计量</w:t>
      </w:r>
      <w:bookmarkEnd w:id="154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17.1.1  计量单位</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计量采用国家法定的计量单位。</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17.1.2  计量方法（适用于小修保养工程）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小修保养工程的总承包项目，须经发包人或公路行发包人管部门进行的养护检查和考核，如对本合同养护工程质量目标能达标（或基本达标）的，发包人可以进行小修保养季（年）度总承包养护价款的支付。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专项养护工程的工程计量以工程细目的实际完成工程量按量计价，并经验收合格进行工程的计量。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承包人应与发包人共同参与对专项养护工程的计量，提供计量所需的详细资料和必要的人员、设备及相关的记录或者图纸。</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17.1.2  计量方法（适用于大中修养护工程）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工程的计量以净値为准，除非项目专用合同条款另有约定。工程量清单値各个子目的具体计量方法按本合同文件技术规范中的规定执行。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17.1.3  计量周期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除专用合同条款另有约定外，单价子目已完成工程量按月计量，总价子目的计量周期按批准的支付分解报告确定。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17.1.4  单价子目的计量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（1）已标价工程量清单中的单价子目工程量为估算工程量。结算工程量是承包人实际完成的，并按合同约定的计量方法进行计量的工程量。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（2）承包人对已完成的工程进行计量，向监理人提交进度付款申请单、已完成工程量报表和有关计量资料。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（4）监理人认为有必要时，可通知承包人共同进行联合测量、计量，承包人应遵照执行。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（6）监理人应在收到承包人提交的工程量报表后的7天内进行复核，监理人未在约定时间内复核的，承包人提交的工程量报表中的工程量视为承包人实际完成的工程量，据此计算工程价款。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（7）承包人未在已标价工程量清单中填入单价或总额价的工程子目，将被认为其已包含在本合同的其他子目的单价和总额价中，发包人将不另行支付。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工程量清单中的工程量计算规则应按有关国家标准、行业标准的规定，并在合同中约定执行。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17.1.5  总价子目的计量</w:t>
      </w:r>
    </w:p>
    <w:p>
      <w:pPr>
        <w:keepNext w:val="0"/>
        <w:keepLines w:val="0"/>
        <w:widowControl w:val="0"/>
        <w:suppressLineNumbers w:val="0"/>
        <w:spacing w:before="0" w:beforeAutospacing="0" w:after="0" w:afterAutospacing="0" w:line="400" w:lineRule="exact"/>
        <w:ind w:left="0" w:right="0" w:firstLine="630" w:firstLineChars="3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除专用合同条款另有约定外，总价子目的分解和计量按照下述约定进行。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（1）总价子目的计量和支付应以总价为基础，不因第16.1款中的因素而进行调整。承包人实际完成的工程量，是进行工程目标管理和控制进度支付的依据。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（3）监理人对承包人提交的上述资料进行复核，以确定分阶段实际完成的工程量和工程形象目标。对其有异议的，可要求承包人按第8.2款约定进行共同复核和抽样复测。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（4）除按照第15条约定的变更外，总价子目的工程量是承包人用于结算的最终工程量。</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42" w:name="_Toc283794271"/>
      <w:bookmarkEnd w:id="1542"/>
      <w:bookmarkStart w:id="1543" w:name="_Toc282779583"/>
      <w:bookmarkEnd w:id="1543"/>
      <w:bookmarkStart w:id="1544" w:name="_Toc288491599"/>
      <w:bookmarkEnd w:id="1544"/>
      <w:bookmarkStart w:id="1545" w:name="_Toc179632738"/>
      <w:bookmarkEnd w:id="1545"/>
      <w:bookmarkStart w:id="1546" w:name="_Toc287853423"/>
      <w:bookmarkEnd w:id="1546"/>
      <w:bookmarkStart w:id="1547" w:name="_Toc237923899"/>
      <w:bookmarkEnd w:id="1547"/>
      <w:bookmarkStart w:id="1548" w:name="_Toc144974691"/>
      <w:bookmarkEnd w:id="1548"/>
      <w:bookmarkStart w:id="1549" w:name="_Toc282779074"/>
      <w:bookmarkEnd w:id="1549"/>
      <w:bookmarkStart w:id="1550" w:name="_Toc152045720"/>
      <w:bookmarkEnd w:id="1550"/>
      <w:bookmarkStart w:id="1551" w:name="_Toc282787523"/>
      <w:bookmarkEnd w:id="1551"/>
      <w:bookmarkStart w:id="1552" w:name="_Toc152042499"/>
      <w:r>
        <w:rPr>
          <w:rFonts w:hint="eastAsia" w:ascii="宋体" w:hAnsi="宋体" w:eastAsia="宋体" w:cs="宋体"/>
          <w:color w:val="000000"/>
          <w:kern w:val="2"/>
          <w:sz w:val="21"/>
          <w:szCs w:val="21"/>
          <w:lang w:val="en-US" w:eastAsia="zh-CN" w:bidi="ar"/>
        </w:rPr>
        <w:t>17.2  预付款</w:t>
      </w:r>
      <w:bookmarkEnd w:id="155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17.2.1  预付款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预付款用于承包人为合同工程施工购置材料、工程设备、施工设备、修建临时设施以及组织施工队伍进场等。</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预付款包括开工预付款和材料预付款。具体额度和预付办法如下：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开工预付款的金额在项目专用合同条款数据表中约定。在承包人签订了合同协议书并提交了开工预付款保函后，监理人应在当期进度付款证书中向承包人支付开工预付款的70%的价款；在承包人承诺的主要设备进场后，再支付预付款的30%。</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（2）材料预付款按项目专用合同条款数据表中所列主要材料单据费用（进口的材料、设备为到岸价，国内采购的为出厂价或销售价，地方材料为堆场价）的百分比支付。其预付条件为：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a．材料符合规范要求并经监理人认可；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b．承包人已出具材料费用凭证或支付单据；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c．材料已在现场交货，且存储良好，监理人认为材料的存储方法符合要求。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则监理人应将此项金额作为材料预付款计入下一次的进度付款证书中。在预计交工前3个月，将不再支付材料、设备预付款。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17.2.2  预付款保函</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17.2.3  预付款的扣回与还清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预付款扣回办法在专用合同条款中约定。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累计金额达到签约合同价的80%时扣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（2）当材料已用于养护工程之中时，材料预付款应从进度付款证书中扣回，扣回期不超过3个月。已经支付材料预付款的材料的所有权应属于发包人。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在颁发工程接收证书前，由于不可抗力或其他原因解除合同时，预付款尚未扣清的，尚未扣清的预付款余额应作为承包人的到期应付款。</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53" w:name="_Toc282779584"/>
      <w:bookmarkEnd w:id="1553"/>
      <w:bookmarkStart w:id="1554" w:name="_Toc282787524"/>
      <w:bookmarkEnd w:id="1554"/>
      <w:bookmarkStart w:id="1555" w:name="_Toc152042500"/>
      <w:bookmarkEnd w:id="1555"/>
      <w:bookmarkStart w:id="1556" w:name="_Toc152045721"/>
      <w:bookmarkEnd w:id="1556"/>
      <w:bookmarkStart w:id="1557" w:name="_Toc237923900"/>
      <w:bookmarkEnd w:id="1557"/>
      <w:bookmarkStart w:id="1558" w:name="_Toc288491600"/>
      <w:bookmarkEnd w:id="1558"/>
      <w:bookmarkStart w:id="1559" w:name="_Toc179632739"/>
      <w:bookmarkEnd w:id="1559"/>
      <w:bookmarkStart w:id="1560" w:name="_Toc283794272"/>
      <w:bookmarkEnd w:id="1560"/>
      <w:bookmarkStart w:id="1561" w:name="_Toc287853424"/>
      <w:bookmarkEnd w:id="1561"/>
      <w:bookmarkStart w:id="1562" w:name="_Toc144974692"/>
      <w:bookmarkEnd w:id="1562"/>
      <w:bookmarkStart w:id="1563" w:name="_Toc282779075"/>
      <w:r>
        <w:rPr>
          <w:rFonts w:hint="eastAsia" w:ascii="宋体" w:hAnsi="宋体" w:eastAsia="宋体" w:cs="宋体"/>
          <w:color w:val="000000"/>
          <w:kern w:val="2"/>
          <w:sz w:val="21"/>
          <w:szCs w:val="21"/>
          <w:lang w:val="en-US" w:eastAsia="zh-CN" w:bidi="ar"/>
        </w:rPr>
        <w:t>17.3  工程进度付款</w:t>
      </w:r>
      <w:bookmarkEnd w:id="156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17.3.1  付款周期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付款周期同计量周期。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17.3.2  进度付款申请单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strike w:val="0"/>
          <w:dstrike/>
          <w:color w:val="000000"/>
          <w:kern w:val="2"/>
          <w:sz w:val="21"/>
          <w:szCs w:val="21"/>
        </w:rPr>
      </w:pPr>
      <w:r>
        <w:rPr>
          <w:rFonts w:hint="eastAsia" w:ascii="宋体" w:hAnsi="宋体" w:eastAsia="宋体" w:cs="宋体"/>
          <w:color w:val="000000"/>
          <w:kern w:val="2"/>
          <w:sz w:val="21"/>
          <w:szCs w:val="21"/>
          <w:lang w:val="en-US" w:eastAsia="zh-CN" w:bidi="ar"/>
        </w:rPr>
        <w:t>承包人应在每个付款周期末，按监理人批准的格式和专用合同条款约定的份数，向监理人提交进度付款申请单，并附相应的支持性证明文件。除专用合同条款另有约定外，进度付款申请单应包括下列内容：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（1）截至本次付款周期末已实施工程的价款；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（2）根据第15条应增加和扣减的变更金额；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（3）根据第23条应增加和扣减的索赔金额；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（4）根据第17.2款约定应支付的预付款和扣减的返还预付款；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（5）根据第17.4.1项约定应扣减的质量保证金；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（6）根据合同应增加和扣减的其他金额。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17.3.3  进度付款证书和支付时间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（2）小修保养年度总承包的养护工程价款的支付按以下办法进行：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a．以小修保养年度总承包的工程价款支付，以签约合同总价分季度按比例支付，第1个季度</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%、第2个季度</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%、第3个季度</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%……。以每季首月的前15日内支付。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b．在支付第1</w:t>
      </w:r>
      <w:r>
        <w:rPr>
          <w:rFonts w:hint="eastAsia" w:ascii="宋体" w:hAnsi="宋体" w:eastAsia="宋体" w:cs="宋体"/>
          <w:color w:val="000000"/>
          <w:kern w:val="2"/>
          <w:sz w:val="21"/>
          <w:szCs w:val="21"/>
          <w:lang w:val="en-US" w:eastAsia="zh-CN" w:bidi="ar"/>
        </w:rPr>
        <w:t>个季度</w:t>
      </w:r>
      <w:r>
        <w:rPr>
          <w:rFonts w:hint="eastAsia" w:ascii="宋体" w:hAnsi="宋体" w:eastAsia="宋体" w:cs="宋体"/>
          <w:color w:val="000000"/>
          <w:kern w:val="0"/>
          <w:sz w:val="21"/>
          <w:szCs w:val="21"/>
          <w:lang w:val="en-US" w:eastAsia="zh-CN" w:bidi="ar"/>
        </w:rPr>
        <w:t>工程价款时，应扣除发包人代为承包人缴纳而存入银行“保证金专用存款账户”的“农民工工资支付保证金”（签约合同总价的2%，每个标段最高不超过300万元）。</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2"/>
          <w:sz w:val="21"/>
          <w:szCs w:val="21"/>
          <w:lang w:val="en-US" w:eastAsia="zh-CN" w:bidi="ar"/>
        </w:rPr>
        <w:t>c．专项养护工程的养护合同工程价款，经发包人以各工程子目的计量并经验收合格后，与总承包养护项目工程价款合并按季支付。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d．承包人应填按季支付结账单报发包人审批。按季结算支付的中期支付证书应包括材料预付款按规定扣回的款额。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e．</w:t>
      </w:r>
      <w:r>
        <w:rPr>
          <w:rFonts w:hint="eastAsia" w:ascii="宋体" w:hAnsi="宋体" w:eastAsia="宋体" w:cs="宋体"/>
          <w:color w:val="000000"/>
          <w:kern w:val="0"/>
          <w:sz w:val="21"/>
          <w:szCs w:val="21"/>
          <w:lang w:val="en-US" w:eastAsia="zh-CN" w:bidi="ar"/>
        </w:rPr>
        <w:t>承包人应按月如实向发包人报送项目的农民工工资支付情况。承包人没有按时报送农民工工资支付情况的，发包人将暂缓支付当季应支付的工程价款。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（2）大中修养护工程价款的支付按以下办法进行：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（3）发包人应在监理人收到进度付款申请单后的28天内，将进度应付款支付给承包人。发包人不按期支付的，按专用合同条款的约定支付逾期付款违约金。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发包人不按期支付的，按项目专用合同条款数据表中约定的利率向承包人支付逾期付款违约金。违约金计算基数为发包人的全部未付款额，时间从应付而未付该款额之日算起（不计复利）。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（4）监理人出具进度付款证书，不应视为监理人已同意、批准或接受了承包人完成的该部分工作。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（5）进度付款涉及政府投资资金的，按照国库集中支付等国家相关规定和专用合同条款的约定办理。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17.3.4  工程进度付款的修正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在对以往历次已签发的进度付款证书进行汇总和复核中发现错、漏或重复的，监理人有权予以修正，承包人也有权提出修正申请。经双方复核同意的修正，应在本次进度付款中支付或扣除。</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64" w:name="_Toc282779076"/>
      <w:bookmarkEnd w:id="1564"/>
      <w:bookmarkStart w:id="1565" w:name="_Toc152042501"/>
      <w:bookmarkEnd w:id="1565"/>
      <w:bookmarkStart w:id="1566" w:name="_Toc144974693"/>
      <w:bookmarkEnd w:id="1566"/>
      <w:bookmarkStart w:id="1567" w:name="_Toc288491601"/>
      <w:bookmarkEnd w:id="1567"/>
      <w:bookmarkStart w:id="1568" w:name="_Toc152045722"/>
      <w:bookmarkEnd w:id="1568"/>
      <w:bookmarkStart w:id="1569" w:name="_Toc237923901"/>
      <w:bookmarkEnd w:id="1569"/>
      <w:bookmarkStart w:id="1570" w:name="_Toc179632740"/>
      <w:bookmarkEnd w:id="1570"/>
      <w:bookmarkStart w:id="1571" w:name="_Toc283794273"/>
      <w:bookmarkEnd w:id="1571"/>
      <w:bookmarkStart w:id="1572" w:name="_Toc282787525"/>
      <w:bookmarkEnd w:id="1572"/>
      <w:bookmarkStart w:id="1573" w:name="_Toc287853425"/>
      <w:bookmarkEnd w:id="1573"/>
      <w:bookmarkStart w:id="1574" w:name="_Toc282779585"/>
      <w:r>
        <w:rPr>
          <w:rFonts w:hint="eastAsia" w:ascii="宋体" w:hAnsi="宋体" w:eastAsia="宋体" w:cs="宋体"/>
          <w:color w:val="000000"/>
          <w:kern w:val="2"/>
          <w:sz w:val="21"/>
          <w:szCs w:val="21"/>
          <w:lang w:val="en-US" w:eastAsia="zh-CN" w:bidi="ar"/>
        </w:rPr>
        <w:t xml:space="preserve">17.4 </w:t>
      </w:r>
      <w:bookmarkEnd w:id="1574"/>
      <w:r>
        <w:rPr>
          <w:rFonts w:hint="eastAsia" w:ascii="宋体" w:hAnsi="宋体" w:eastAsia="宋体" w:cs="宋体"/>
          <w:color w:val="000000"/>
          <w:kern w:val="2"/>
          <w:sz w:val="21"/>
          <w:szCs w:val="21"/>
          <w:lang w:val="en-US" w:eastAsia="zh-CN" w:bidi="ar"/>
        </w:rPr>
        <w:t xml:space="preserve"> 质量保证金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17.4.1 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75" w:name="_Toc152045723"/>
      <w:bookmarkEnd w:id="1575"/>
      <w:bookmarkStart w:id="1576" w:name="_Toc152042502"/>
      <w:bookmarkEnd w:id="1576"/>
      <w:bookmarkStart w:id="1577" w:name="_Toc287853426"/>
      <w:bookmarkEnd w:id="1577"/>
      <w:bookmarkStart w:id="1578" w:name="_Toc144974694"/>
      <w:bookmarkEnd w:id="1578"/>
      <w:bookmarkStart w:id="1579" w:name="_Toc283794274"/>
      <w:bookmarkEnd w:id="1579"/>
      <w:bookmarkStart w:id="1580" w:name="_Toc288491602"/>
      <w:bookmarkEnd w:id="1580"/>
      <w:bookmarkStart w:id="1581" w:name="_Toc282779586"/>
      <w:bookmarkEnd w:id="1581"/>
      <w:bookmarkStart w:id="1582" w:name="_Toc179632741"/>
      <w:bookmarkEnd w:id="1582"/>
      <w:bookmarkStart w:id="1583" w:name="_Toc282787526"/>
      <w:bookmarkEnd w:id="1583"/>
      <w:bookmarkStart w:id="1584" w:name="_Toc237923902"/>
      <w:bookmarkEnd w:id="1584"/>
      <w:bookmarkStart w:id="1585" w:name="_Toc282779077"/>
      <w:r>
        <w:rPr>
          <w:rFonts w:hint="eastAsia" w:ascii="宋体" w:hAnsi="宋体" w:eastAsia="宋体" w:cs="宋体"/>
          <w:color w:val="000000"/>
          <w:kern w:val="2"/>
          <w:sz w:val="21"/>
          <w:szCs w:val="21"/>
          <w:lang w:val="en-US" w:eastAsia="zh-CN" w:bidi="ar"/>
        </w:rPr>
        <w:t>17.5  交（竣）工结算</w:t>
      </w:r>
      <w:bookmarkEnd w:id="158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17.5.1  交工付款申请单（适用于小修保养工程）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（1）承包人向监理人提交交工付款申请单（包括相关证明材料）的份数在项目专用合同条款数据表中约定；期限：交工验收证书签发后42天内。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工程接收证书颁发后，承包人应按专用合同条款约定的份数和期限向监理人提交工付款申请单，并提供相关证明材料。除专用合同条款另有约定外，交工付款申请单应包括下列内容：交工结算合同总价、发包人已支付承包人的工程价款、应扣留的质量保证金、应支付的交工付款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（3）监理人对交工付款申请单有异议的，有权要求承包人进行修正和提供补充资料。经监理人和承包人协商后，由承包人向监理人提交修正后的交工付款申请单。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17.5.2  竣工付款证书及支付时间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（2）发包人应在监理人出具竣工付款证书后的14天内，将应支付款支付给承包人。发包人不按期支付的，按第17.3.3（2）目的约定，将逾期付款违约金支付给承包人。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（3）承包人对发包人签认的竣工付款证书有异议的，发包人可出具竣工付款申请单中承包人已同意部分的临时付款证书。存在争议的部分，按第24条的约定办理。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（4）竣工付款涉及政府投资资金的，按第17.3.3（4）目的约定办理。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586" w:name="_Toc179632742"/>
      <w:bookmarkEnd w:id="1586"/>
      <w:bookmarkStart w:id="1587" w:name="_Toc288491603"/>
      <w:bookmarkEnd w:id="1587"/>
      <w:bookmarkStart w:id="1588" w:name="_Toc144974695"/>
      <w:bookmarkEnd w:id="1588"/>
      <w:bookmarkStart w:id="1589" w:name="_Toc282779587"/>
      <w:bookmarkEnd w:id="1589"/>
      <w:bookmarkStart w:id="1590" w:name="_Toc282787527"/>
      <w:bookmarkEnd w:id="1590"/>
      <w:bookmarkStart w:id="1591" w:name="_Toc282779078"/>
      <w:bookmarkEnd w:id="1591"/>
      <w:bookmarkStart w:id="1592" w:name="_Toc152042503"/>
      <w:bookmarkEnd w:id="1592"/>
      <w:bookmarkStart w:id="1593" w:name="_Toc287853427"/>
      <w:bookmarkEnd w:id="1593"/>
      <w:bookmarkStart w:id="1594" w:name="_Toc237923903"/>
      <w:bookmarkEnd w:id="1594"/>
      <w:bookmarkStart w:id="1595" w:name="_Toc283794275"/>
      <w:bookmarkEnd w:id="1595"/>
      <w:bookmarkStart w:id="1596" w:name="_Toc152045724"/>
      <w:r>
        <w:rPr>
          <w:rFonts w:hint="eastAsia" w:ascii="宋体" w:hAnsi="宋体" w:eastAsia="宋体" w:cs="宋体"/>
          <w:color w:val="000000"/>
          <w:kern w:val="2"/>
          <w:sz w:val="21"/>
          <w:szCs w:val="21"/>
          <w:lang w:val="en-US" w:eastAsia="zh-CN" w:bidi="ar"/>
        </w:rPr>
        <w:t>17.6  最终结清</w:t>
      </w:r>
      <w:bookmarkEnd w:id="159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17.6.1  最终结清申请单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（1）缺陷责任期终止证书签发后，承包人可按专用合同条款约定的份数和期限向监理人提交最终结清申请单，并提供相关证明材料。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承包人向监理人提交最终结清申请单（包括相关证明材料）的份数在项目专用合同条款数据表中约定；期限：缺陷责任期终止证书签发后28天内。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最终结清申请单中的总金额应认为是代表了根据合同规定应付给承包人的全部款项的最后结算。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（2）发包人对最终结清申请单内容有异议的，有权要求承包人进行修正和提供补充资料，由承包人向监理人提交修正后的最终结清申请单。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17.6.2  最终结清证书和支付时间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（2）发包人应在监理人出具最终结清证书后的14天内，将应支付款支付给承包人。发包人不按期支付的，按第17.3.3（2）目的约定，将逾期付款违约金支付给承包人。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（3）承包人对发包人签认的最终结清证书有异议的，按第24条的约定办理。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（4）最终结清付款涉及政府投资资金的，按第17.3.3（4）目的约定办理。</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597" w:name="_Toc29473"/>
      <w:bookmarkEnd w:id="1597"/>
      <w:bookmarkStart w:id="1598" w:name="_Toc282787528"/>
      <w:bookmarkEnd w:id="1598"/>
      <w:bookmarkStart w:id="1599" w:name="_Toc13231"/>
      <w:bookmarkEnd w:id="1599"/>
      <w:bookmarkStart w:id="1600" w:name="_Toc9566"/>
      <w:bookmarkEnd w:id="1600"/>
      <w:bookmarkStart w:id="1601" w:name="_Toc283794276"/>
      <w:bookmarkEnd w:id="1601"/>
      <w:bookmarkStart w:id="1602" w:name="_Toc26821"/>
      <w:bookmarkEnd w:id="1602"/>
      <w:bookmarkStart w:id="1603" w:name="_Toc31779"/>
      <w:bookmarkEnd w:id="1603"/>
      <w:bookmarkStart w:id="1604" w:name="_Toc7864"/>
      <w:bookmarkEnd w:id="1604"/>
      <w:bookmarkStart w:id="1605" w:name="_Toc25335"/>
      <w:bookmarkEnd w:id="1605"/>
      <w:bookmarkStart w:id="1606" w:name="_Toc152042504"/>
      <w:bookmarkEnd w:id="1606"/>
      <w:bookmarkStart w:id="1607" w:name="_Toc514936618"/>
      <w:bookmarkEnd w:id="1607"/>
      <w:bookmarkStart w:id="1608" w:name="_Toc282779588"/>
      <w:bookmarkEnd w:id="1608"/>
      <w:bookmarkStart w:id="1609" w:name="_Toc237923904"/>
      <w:bookmarkEnd w:id="1609"/>
      <w:bookmarkStart w:id="1610" w:name="_Toc5391"/>
      <w:bookmarkEnd w:id="1610"/>
      <w:bookmarkStart w:id="1611" w:name="_Toc282779079"/>
      <w:bookmarkEnd w:id="1611"/>
      <w:bookmarkStart w:id="1612" w:name="_Toc14491"/>
      <w:bookmarkEnd w:id="1612"/>
      <w:bookmarkStart w:id="1613" w:name="_Toc118378089"/>
      <w:bookmarkEnd w:id="1613"/>
      <w:bookmarkStart w:id="1614" w:name="_Toc10401"/>
      <w:bookmarkEnd w:id="1614"/>
      <w:bookmarkStart w:id="1615" w:name="_Toc287853428"/>
      <w:bookmarkEnd w:id="1615"/>
      <w:bookmarkStart w:id="1616" w:name="_Toc13298"/>
      <w:bookmarkEnd w:id="1616"/>
      <w:bookmarkStart w:id="1617" w:name="_Toc152045725"/>
      <w:bookmarkEnd w:id="1617"/>
      <w:bookmarkStart w:id="1618" w:name="_Toc144974696"/>
      <w:bookmarkEnd w:id="1618"/>
      <w:bookmarkStart w:id="1619" w:name="_Toc6494"/>
      <w:bookmarkEnd w:id="1619"/>
      <w:bookmarkStart w:id="1620" w:name="_Toc288491604"/>
      <w:bookmarkEnd w:id="1620"/>
      <w:bookmarkStart w:id="1621" w:name="_Toc3707"/>
      <w:bookmarkEnd w:id="1621"/>
      <w:bookmarkStart w:id="1622" w:name="_Toc179632743"/>
      <w:r>
        <w:rPr>
          <w:rFonts w:hint="eastAsia" w:ascii="宋体" w:hAnsi="宋体" w:eastAsia="宋体" w:cs="宋体"/>
          <w:color w:val="000000"/>
          <w:kern w:val="2"/>
          <w:sz w:val="21"/>
          <w:szCs w:val="21"/>
          <w:lang w:val="en-US" w:eastAsia="zh-CN" w:bidi="ar"/>
        </w:rPr>
        <w:t>18．交（竣）工验收</w:t>
      </w:r>
      <w:bookmarkEnd w:id="1622"/>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23" w:name="_Toc152042505"/>
      <w:bookmarkEnd w:id="1623"/>
      <w:bookmarkStart w:id="1624" w:name="_Toc282779589"/>
      <w:bookmarkEnd w:id="1624"/>
      <w:bookmarkStart w:id="1625" w:name="_Toc283794277"/>
      <w:bookmarkEnd w:id="1625"/>
      <w:bookmarkStart w:id="1626" w:name="_Toc144974697"/>
      <w:bookmarkEnd w:id="1626"/>
      <w:bookmarkStart w:id="1627" w:name="_Toc282779080"/>
      <w:bookmarkEnd w:id="1627"/>
      <w:bookmarkStart w:id="1628" w:name="_Toc282787529"/>
      <w:bookmarkEnd w:id="1628"/>
      <w:bookmarkStart w:id="1629" w:name="_Toc237923905"/>
      <w:bookmarkEnd w:id="1629"/>
      <w:bookmarkStart w:id="1630" w:name="_Toc152045726"/>
      <w:bookmarkEnd w:id="1630"/>
      <w:bookmarkStart w:id="1631" w:name="_Toc288491605"/>
      <w:bookmarkEnd w:id="1631"/>
      <w:bookmarkStart w:id="1632" w:name="_Toc287853429"/>
      <w:bookmarkEnd w:id="1632"/>
      <w:bookmarkStart w:id="1633" w:name="_Toc179632744"/>
      <w:r>
        <w:rPr>
          <w:rFonts w:hint="eastAsia" w:ascii="宋体" w:hAnsi="宋体" w:eastAsia="宋体" w:cs="宋体"/>
          <w:color w:val="000000"/>
          <w:kern w:val="2"/>
          <w:sz w:val="21"/>
          <w:szCs w:val="21"/>
          <w:lang w:val="en-US" w:eastAsia="zh-CN" w:bidi="ar"/>
        </w:rPr>
        <w:t>18.1  交（竣）工验收的含义</w:t>
      </w:r>
      <w:bookmarkEnd w:id="163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18.1.1  交（竣）工验收指承包人完成了全部合同工作后，发包人按合同要求进行的验收。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18.1.2  国家验收是政府有关部门根据法律、规范、规程和政策要求，针对发包人全面组织实施的整个工程正式交付投运前的验收。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18.1.3  小修保养工程的养护项目，经公路养护主管部门批准可交竣工合并为一次交工验收。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34" w:name="_Toc152045727"/>
      <w:bookmarkEnd w:id="1634"/>
      <w:bookmarkStart w:id="1635" w:name="_Toc179632745"/>
      <w:bookmarkEnd w:id="1635"/>
      <w:bookmarkStart w:id="1636" w:name="_Toc282779081"/>
      <w:bookmarkEnd w:id="1636"/>
      <w:bookmarkStart w:id="1637" w:name="_Toc237923906"/>
      <w:bookmarkEnd w:id="1637"/>
      <w:bookmarkStart w:id="1638" w:name="_Toc282779590"/>
      <w:bookmarkEnd w:id="1638"/>
      <w:bookmarkStart w:id="1639" w:name="_Toc283794278"/>
      <w:bookmarkEnd w:id="1639"/>
      <w:bookmarkStart w:id="1640" w:name="_Toc144974698"/>
      <w:bookmarkEnd w:id="1640"/>
      <w:bookmarkStart w:id="1641" w:name="_Toc287853430"/>
      <w:bookmarkEnd w:id="1641"/>
      <w:bookmarkStart w:id="1642" w:name="_Toc282787530"/>
      <w:bookmarkEnd w:id="1642"/>
      <w:bookmarkStart w:id="1643" w:name="_Toc152042506"/>
      <w:bookmarkEnd w:id="1643"/>
      <w:bookmarkStart w:id="1644" w:name="_Toc288491606"/>
      <w:r>
        <w:rPr>
          <w:rFonts w:hint="eastAsia" w:ascii="宋体" w:hAnsi="宋体" w:eastAsia="宋体" w:cs="宋体"/>
          <w:color w:val="000000"/>
          <w:kern w:val="2"/>
          <w:sz w:val="21"/>
          <w:szCs w:val="21"/>
          <w:lang w:val="en-US" w:eastAsia="zh-CN" w:bidi="ar"/>
        </w:rPr>
        <w:t>18.2  交（竣）工验收申请报告</w:t>
      </w:r>
      <w:bookmarkEnd w:id="164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当工程具备以下条件时，承包人即可向监理人报送竣工验收申请报告：</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（1）除监理人同意列入缺陷责任期内完成的尾工（甩项）工程和缺陷修补工作外，合同范围内的全部单位工程以及有关工作，包括合同要求的试验、试运行以及检验和验收均已完成，并符合合同要求；</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（2）已按合同约定的内容和份数备齐了符合要求的竣工资料；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竣工资料的内容：承包人应按照《浙江省公路大中修工程交（竣）工文件编制办法（试行）》（浙江省公路管理局 浙公路［2005］51号）的规定，编制竣工图表和施工资料。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竣工资料的份数在项目专用合同条款数据表中约定。</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（3）已按监理人的要求编制了在缺陷责任期内完成的尾工（甩项）工程和缺陷修补工作清单以及相应施工计划；</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（4）监理人要求在竣工验收前应完成的其他工作；</w:t>
      </w:r>
    </w:p>
    <w:p>
      <w:pPr>
        <w:keepNext w:val="0"/>
        <w:keepLines w:val="0"/>
        <w:widowControl w:val="0"/>
        <w:suppressLineNumbers w:val="0"/>
        <w:spacing w:before="0" w:beforeAutospacing="0" w:after="0" w:afterAutospacing="0" w:line="400" w:lineRule="exact"/>
        <w:ind w:left="0" w:right="0" w:firstLine="359" w:firstLineChars="171"/>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（5）监理人要求提交的竣工验收资料清单。</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45" w:name="_Toc282779591"/>
      <w:bookmarkEnd w:id="1645"/>
      <w:bookmarkStart w:id="1646" w:name="_Toc282779082"/>
      <w:bookmarkEnd w:id="1646"/>
      <w:bookmarkStart w:id="1647" w:name="_Toc179632746"/>
      <w:bookmarkEnd w:id="1647"/>
      <w:bookmarkStart w:id="1648" w:name="_Toc282787531"/>
      <w:bookmarkEnd w:id="1648"/>
      <w:bookmarkStart w:id="1649" w:name="_Toc152045728"/>
      <w:bookmarkEnd w:id="1649"/>
      <w:bookmarkStart w:id="1650" w:name="_Toc237923907"/>
      <w:bookmarkEnd w:id="1650"/>
      <w:bookmarkStart w:id="1651" w:name="_Toc288491607"/>
      <w:bookmarkEnd w:id="1651"/>
      <w:bookmarkStart w:id="1652" w:name="_Toc144974699"/>
      <w:bookmarkEnd w:id="1652"/>
      <w:bookmarkStart w:id="1653" w:name="_Toc152042507"/>
      <w:bookmarkEnd w:id="1653"/>
      <w:bookmarkStart w:id="1654" w:name="_Toc283794279"/>
      <w:bookmarkEnd w:id="1654"/>
      <w:bookmarkStart w:id="1655" w:name="_Toc287853431"/>
      <w:r>
        <w:rPr>
          <w:rFonts w:hint="eastAsia" w:ascii="宋体" w:hAnsi="宋体" w:eastAsia="宋体" w:cs="宋体"/>
          <w:color w:val="000000"/>
          <w:kern w:val="2"/>
          <w:sz w:val="21"/>
          <w:szCs w:val="21"/>
          <w:lang w:val="en-US" w:eastAsia="zh-CN" w:bidi="ar"/>
        </w:rPr>
        <w:t>18.3  验收</w:t>
      </w:r>
      <w:bookmarkEnd w:id="165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监理人收到承包人按第18.2款约定提交的竣工验收申请报告后，应审查申请报告的各项内容，并按以下不同情况进行处理。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18.3.2  监理人审查后认为已具备竣工验收条件的，应在收到竣工验收申请报告后的28天内提请发包人进行工程验收。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交工验收由发包人主持，由发包人、监理人、质监、管理养护等有关部门代表组成交工验收小组，对本项目的养护工程质量进行评定，并写出交工验收报告报公路主管部门备案。承包人应按发包人的要求提交竣工资料，完成交工验收准备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18.3.3  发包人经过验收后同意接受工程的，应在监理人收到交（竣）工验收申请报告后的56天内，由监理人向承包人出具经发包人签认的工程接收证书。发包人验收后同意接收工程但提出整修和完善要求的，限期修好，并颁发工程接收证书。整修和完善工作完成后，监理人复查达到要求的，经发包人同意后，再向承包人出具工程接收证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交（竣）工验收申请报告，按第18.3.1项、第18.3.2项和第18.3.3项的约定进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18.3.5  除专用合同条款另有约定外，经验收合格工程的实际交（竣）工日期，以提交交（竣）工验收申请报告的日期为准，并在工程接收证书中写明。</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经验收合格工程的实际交工日期，以最终提交交工验收申请报告的日期为准，并在交工验收证书中写明。</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18.3.6  发包人在收到承包人交（竣）工验收申请报告56天后未进行验收的，视为验收合格，实际竣工日期以提交交（竣）工验收申请报告的日期为准，但发包人由于不可抗力不能进行验收的除外。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18.3.7  组织办理交（竣）工验收和签发交（竣）工验收证书的费用由发包人承担。但按照第18.3.4项规定达不到合格标准的交（竣）工验收费用由承包人承担。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56" w:name="_Toc179632747"/>
      <w:bookmarkEnd w:id="1656"/>
      <w:bookmarkStart w:id="1657" w:name="_Toc282779592"/>
      <w:bookmarkEnd w:id="1657"/>
      <w:bookmarkStart w:id="1658" w:name="_Toc237923908"/>
      <w:bookmarkEnd w:id="1658"/>
      <w:bookmarkStart w:id="1659" w:name="_Toc144974700"/>
      <w:bookmarkEnd w:id="1659"/>
      <w:bookmarkStart w:id="1660" w:name="_Toc287853432"/>
      <w:bookmarkEnd w:id="1660"/>
      <w:bookmarkStart w:id="1661" w:name="_Toc282779083"/>
      <w:bookmarkEnd w:id="1661"/>
      <w:bookmarkStart w:id="1662" w:name="_Toc152045729"/>
      <w:bookmarkEnd w:id="1662"/>
      <w:bookmarkStart w:id="1663" w:name="_Toc288491608"/>
      <w:bookmarkEnd w:id="1663"/>
      <w:bookmarkStart w:id="1664" w:name="_Toc152042508"/>
      <w:bookmarkEnd w:id="1664"/>
      <w:bookmarkStart w:id="1665" w:name="_Toc283794280"/>
      <w:bookmarkEnd w:id="1665"/>
      <w:bookmarkStart w:id="1666" w:name="_Toc282787532"/>
      <w:r>
        <w:rPr>
          <w:rFonts w:hint="eastAsia" w:ascii="宋体" w:hAnsi="宋体" w:eastAsia="宋体" w:cs="宋体"/>
          <w:color w:val="000000"/>
          <w:kern w:val="2"/>
          <w:sz w:val="21"/>
          <w:szCs w:val="21"/>
          <w:lang w:val="en-US" w:eastAsia="zh-CN" w:bidi="ar"/>
        </w:rPr>
        <w:t>18.4  单位工程验收</w:t>
      </w:r>
      <w:bookmarkEnd w:id="166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18.4.2  发包人在全部工程竣工前，使用已接收的单位工程导致承包人费用增加的，发包人应承担由此增加的费用和（或）工期延误，并支付承包人合理利润。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67" w:name="_Toc282779593"/>
      <w:bookmarkEnd w:id="1667"/>
      <w:bookmarkStart w:id="1668" w:name="_Toc288491609"/>
      <w:bookmarkEnd w:id="1668"/>
      <w:bookmarkStart w:id="1669" w:name="_Toc287853433"/>
      <w:bookmarkEnd w:id="1669"/>
      <w:bookmarkStart w:id="1670" w:name="_Toc237923909"/>
      <w:bookmarkEnd w:id="1670"/>
      <w:bookmarkStart w:id="1671" w:name="_Toc152045730"/>
      <w:bookmarkEnd w:id="1671"/>
      <w:bookmarkStart w:id="1672" w:name="_Toc152042509"/>
      <w:bookmarkEnd w:id="1672"/>
      <w:bookmarkStart w:id="1673" w:name="_Toc179632748"/>
      <w:bookmarkEnd w:id="1673"/>
      <w:bookmarkStart w:id="1674" w:name="_Toc144974701"/>
      <w:bookmarkEnd w:id="1674"/>
      <w:bookmarkStart w:id="1675" w:name="_Toc283794281"/>
      <w:bookmarkEnd w:id="1675"/>
      <w:bookmarkStart w:id="1676" w:name="_Toc282779084"/>
      <w:bookmarkEnd w:id="1676"/>
      <w:bookmarkStart w:id="1677" w:name="_Toc282787533"/>
      <w:r>
        <w:rPr>
          <w:rFonts w:hint="eastAsia" w:ascii="宋体" w:hAnsi="宋体" w:eastAsia="宋体" w:cs="宋体"/>
          <w:color w:val="000000"/>
          <w:kern w:val="2"/>
          <w:sz w:val="21"/>
          <w:szCs w:val="21"/>
          <w:lang w:val="en-US" w:eastAsia="zh-CN" w:bidi="ar"/>
        </w:rPr>
        <w:t>18.5  施工期运行</w:t>
      </w:r>
      <w:bookmarkEnd w:id="167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18.5.2  在施工期运行中发现工程或工程设备损坏或存在缺陷的，由承包人按第19.2款约定进行修复。</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78" w:name="_Toc282779085"/>
      <w:bookmarkEnd w:id="1678"/>
      <w:bookmarkStart w:id="1679" w:name="_Toc237923910"/>
      <w:bookmarkEnd w:id="1679"/>
      <w:bookmarkStart w:id="1680" w:name="_Toc283794282"/>
      <w:bookmarkEnd w:id="1680"/>
      <w:bookmarkStart w:id="1681" w:name="_Toc144974702"/>
      <w:bookmarkEnd w:id="1681"/>
      <w:bookmarkStart w:id="1682" w:name="_Toc282779594"/>
      <w:bookmarkEnd w:id="1682"/>
      <w:bookmarkStart w:id="1683" w:name="_Toc288491610"/>
      <w:bookmarkEnd w:id="1683"/>
      <w:bookmarkStart w:id="1684" w:name="_Toc152045731"/>
      <w:bookmarkEnd w:id="1684"/>
      <w:bookmarkStart w:id="1685" w:name="_Toc282787534"/>
      <w:bookmarkEnd w:id="1685"/>
      <w:bookmarkStart w:id="1686" w:name="_Toc287853434"/>
      <w:bookmarkEnd w:id="1686"/>
      <w:bookmarkStart w:id="1687" w:name="_Toc152042510"/>
      <w:bookmarkEnd w:id="1687"/>
      <w:bookmarkStart w:id="1688" w:name="_Toc179632749"/>
      <w:r>
        <w:rPr>
          <w:rFonts w:hint="eastAsia" w:ascii="宋体" w:hAnsi="宋体" w:eastAsia="宋体" w:cs="宋体"/>
          <w:color w:val="000000"/>
          <w:kern w:val="2"/>
          <w:sz w:val="21"/>
          <w:szCs w:val="21"/>
          <w:lang w:val="en-US" w:eastAsia="zh-CN" w:bidi="ar"/>
        </w:rPr>
        <w:t>18.6  试运行</w:t>
      </w:r>
      <w:bookmarkEnd w:id="168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18.6.1  除专用合同条款另有约定外，承包人应按专用合同条款约定进行工程及工程设备试运行，负责提供试运行所需的人员、器材和必要的条件，并承担全部试运行费用。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689" w:name="_Toc287853435"/>
      <w:bookmarkEnd w:id="1689"/>
      <w:bookmarkStart w:id="1690" w:name="_Toc288491611"/>
      <w:bookmarkEnd w:id="1690"/>
      <w:bookmarkStart w:id="1691" w:name="_Toc283794283"/>
      <w:bookmarkEnd w:id="1691"/>
      <w:bookmarkStart w:id="1692" w:name="_Toc179632750"/>
      <w:bookmarkEnd w:id="1692"/>
      <w:bookmarkStart w:id="1693" w:name="_Toc282779595"/>
      <w:bookmarkEnd w:id="1693"/>
      <w:bookmarkStart w:id="1694" w:name="_Toc152045732"/>
      <w:bookmarkEnd w:id="1694"/>
      <w:bookmarkStart w:id="1695" w:name="_Toc144974703"/>
      <w:bookmarkEnd w:id="1695"/>
      <w:bookmarkStart w:id="1696" w:name="_Toc237923911"/>
      <w:bookmarkEnd w:id="1696"/>
      <w:bookmarkStart w:id="1697" w:name="_Toc152042511"/>
      <w:bookmarkEnd w:id="1697"/>
      <w:bookmarkStart w:id="1698" w:name="_Toc282787535"/>
      <w:bookmarkEnd w:id="1698"/>
      <w:bookmarkStart w:id="1699" w:name="_Toc282779086"/>
      <w:r>
        <w:rPr>
          <w:rFonts w:hint="eastAsia" w:ascii="宋体" w:hAnsi="宋体" w:eastAsia="宋体" w:cs="宋体"/>
          <w:color w:val="000000"/>
          <w:kern w:val="2"/>
          <w:sz w:val="21"/>
          <w:szCs w:val="21"/>
          <w:lang w:val="en-US" w:eastAsia="zh-CN" w:bidi="ar"/>
        </w:rPr>
        <w:t>18.7  竣工清场</w:t>
      </w:r>
      <w:bookmarkEnd w:id="169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18.7.1 除合同另有约定外，工程接收证书颁发后，承包人应按以下要求对施工场地进行清理，直至监理人检验合格为止。竣工清场费用由承包人承担。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（1）施工场地内残留的垃圾已全部清除出场；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（2）临时工程已拆除，场地已按合同要求进行清理、平整或复原；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（3）按合同约定应撤离的承包人设备和剩余的材料，包括废弃的施工设备和材料，已按计划撤离施工场地；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（4）工程建筑物周边及其附近道路、河道的施工堆积物，已按监理人指示全部清理；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（5）监理人指示的其他场地清理工作已全部完成。</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18.7.2  承包人未按监理人的要求恢复临时占地，或者场地清理未达到合同约定的，发包人有权委托其他人恢复或清理，所发生的金额从拟支付给承包人的款项中扣除。</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00" w:name="_Toc152045733"/>
      <w:bookmarkEnd w:id="1700"/>
      <w:bookmarkStart w:id="1701" w:name="_Toc152042512"/>
      <w:bookmarkEnd w:id="1701"/>
      <w:bookmarkStart w:id="1702" w:name="_Toc237923912"/>
      <w:bookmarkEnd w:id="1702"/>
      <w:bookmarkStart w:id="1703" w:name="_Toc282787536"/>
      <w:bookmarkEnd w:id="1703"/>
      <w:bookmarkStart w:id="1704" w:name="_Toc282779596"/>
      <w:bookmarkEnd w:id="1704"/>
      <w:bookmarkStart w:id="1705" w:name="_Toc288491612"/>
      <w:bookmarkEnd w:id="1705"/>
      <w:bookmarkStart w:id="1706" w:name="_Toc287853436"/>
      <w:bookmarkEnd w:id="1706"/>
      <w:bookmarkStart w:id="1707" w:name="_Toc179632751"/>
      <w:bookmarkEnd w:id="1707"/>
      <w:bookmarkStart w:id="1708" w:name="_Toc282779087"/>
      <w:bookmarkEnd w:id="1708"/>
      <w:bookmarkStart w:id="1709" w:name="_Toc283794284"/>
      <w:bookmarkEnd w:id="1709"/>
      <w:bookmarkStart w:id="1710" w:name="_Toc144974704"/>
      <w:r>
        <w:rPr>
          <w:rFonts w:hint="eastAsia" w:ascii="宋体" w:hAnsi="宋体" w:eastAsia="宋体" w:cs="宋体"/>
          <w:color w:val="000000"/>
          <w:kern w:val="2"/>
          <w:sz w:val="21"/>
          <w:szCs w:val="21"/>
          <w:lang w:val="en-US" w:eastAsia="zh-CN" w:bidi="ar"/>
        </w:rPr>
        <w:t>18.8  施工队伍的撤离</w:t>
      </w:r>
      <w:bookmarkEnd w:id="171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11" w:name="_Toc287853437"/>
      <w:bookmarkEnd w:id="1711"/>
      <w:bookmarkStart w:id="1712" w:name="_Toc282779597"/>
      <w:bookmarkEnd w:id="1712"/>
      <w:bookmarkStart w:id="1713" w:name="_Toc282787537"/>
      <w:bookmarkEnd w:id="1713"/>
      <w:bookmarkStart w:id="1714" w:name="_Toc288491613"/>
      <w:bookmarkEnd w:id="1714"/>
      <w:bookmarkStart w:id="1715" w:name="_Toc283794285"/>
      <w:bookmarkEnd w:id="1715"/>
      <w:bookmarkStart w:id="1716" w:name="_Toc282779088"/>
      <w:r>
        <w:rPr>
          <w:rFonts w:hint="eastAsia" w:ascii="宋体" w:hAnsi="宋体" w:eastAsia="宋体" w:cs="宋体"/>
          <w:color w:val="000000"/>
          <w:kern w:val="2"/>
          <w:sz w:val="21"/>
          <w:szCs w:val="21"/>
          <w:lang w:val="en-US" w:eastAsia="zh-CN" w:bidi="ar"/>
        </w:rPr>
        <w:t>18.9  交（竣）工文件</w:t>
      </w:r>
      <w:bookmarkEnd w:id="171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承包人应按照《公路工程交竣工验收办法》的相关规定，在缺陷责任期内为竣工验收补充竣工资料，并在签发缺陷责任期终止证书之前提交。</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717" w:name="_Toc237923913"/>
      <w:bookmarkEnd w:id="1717"/>
      <w:bookmarkStart w:id="1718" w:name="_Toc25689"/>
      <w:bookmarkEnd w:id="1718"/>
      <w:bookmarkStart w:id="1719" w:name="_Toc20758"/>
      <w:bookmarkEnd w:id="1719"/>
      <w:bookmarkStart w:id="1720" w:name="_Toc282779598"/>
      <w:bookmarkEnd w:id="1720"/>
      <w:bookmarkStart w:id="1721" w:name="_Toc29364"/>
      <w:bookmarkEnd w:id="1721"/>
      <w:bookmarkStart w:id="1722" w:name="_Toc179632752"/>
      <w:bookmarkEnd w:id="1722"/>
      <w:bookmarkStart w:id="1723" w:name="_Toc282779089"/>
      <w:bookmarkEnd w:id="1723"/>
      <w:bookmarkStart w:id="1724" w:name="_Toc287853438"/>
      <w:bookmarkEnd w:id="1724"/>
      <w:bookmarkStart w:id="1725" w:name="_Toc29092"/>
      <w:bookmarkEnd w:id="1725"/>
      <w:bookmarkStart w:id="1726" w:name="_Toc282787538"/>
      <w:bookmarkEnd w:id="1726"/>
      <w:bookmarkStart w:id="1727" w:name="_Toc288491614"/>
      <w:bookmarkEnd w:id="1727"/>
      <w:bookmarkStart w:id="1728" w:name="_Toc32010"/>
      <w:bookmarkEnd w:id="1728"/>
      <w:bookmarkStart w:id="1729" w:name="_Toc144974705"/>
      <w:bookmarkEnd w:id="1729"/>
      <w:bookmarkStart w:id="1730" w:name="_Toc514936619"/>
      <w:bookmarkEnd w:id="1730"/>
      <w:bookmarkStart w:id="1731" w:name="_Toc1916"/>
      <w:bookmarkEnd w:id="1731"/>
      <w:bookmarkStart w:id="1732" w:name="_Toc30200"/>
      <w:bookmarkEnd w:id="1732"/>
      <w:bookmarkStart w:id="1733" w:name="_Toc152045734"/>
      <w:bookmarkEnd w:id="1733"/>
      <w:bookmarkStart w:id="1734" w:name="_Toc13733"/>
      <w:bookmarkEnd w:id="1734"/>
      <w:bookmarkStart w:id="1735" w:name="_Toc283794286"/>
      <w:bookmarkEnd w:id="1735"/>
      <w:bookmarkStart w:id="1736" w:name="_Toc1672"/>
      <w:bookmarkEnd w:id="1736"/>
      <w:bookmarkStart w:id="1737" w:name="_Toc5584"/>
      <w:bookmarkEnd w:id="1737"/>
      <w:bookmarkStart w:id="1738" w:name="_Toc3020"/>
      <w:bookmarkEnd w:id="1738"/>
      <w:bookmarkStart w:id="1739" w:name="_Toc118378090"/>
      <w:bookmarkEnd w:id="1739"/>
      <w:bookmarkStart w:id="1740" w:name="_Toc18634"/>
      <w:bookmarkEnd w:id="1740"/>
      <w:bookmarkStart w:id="1741" w:name="_Toc4927"/>
      <w:bookmarkEnd w:id="1741"/>
      <w:bookmarkStart w:id="1742" w:name="_Toc152042513"/>
      <w:r>
        <w:rPr>
          <w:rFonts w:hint="eastAsia" w:ascii="宋体" w:hAnsi="宋体" w:eastAsia="宋体" w:cs="宋体"/>
          <w:color w:val="000000"/>
          <w:kern w:val="2"/>
          <w:sz w:val="21"/>
          <w:szCs w:val="21"/>
          <w:lang w:val="en-US" w:eastAsia="zh-CN" w:bidi="ar"/>
        </w:rPr>
        <w:t>19．缺陷责任与保修责任</w:t>
      </w:r>
      <w:bookmarkEnd w:id="1742"/>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43" w:name="_Toc179632753"/>
      <w:bookmarkEnd w:id="1743"/>
      <w:bookmarkStart w:id="1744" w:name="_Toc282779599"/>
      <w:bookmarkEnd w:id="1744"/>
      <w:bookmarkStart w:id="1745" w:name="_Toc283794287"/>
      <w:bookmarkEnd w:id="1745"/>
      <w:bookmarkStart w:id="1746" w:name="_Toc288491615"/>
      <w:bookmarkEnd w:id="1746"/>
      <w:bookmarkStart w:id="1747" w:name="_Toc144974706"/>
      <w:bookmarkEnd w:id="1747"/>
      <w:bookmarkStart w:id="1748" w:name="_Toc152045735"/>
      <w:bookmarkEnd w:id="1748"/>
      <w:bookmarkStart w:id="1749" w:name="_Toc237923914"/>
      <w:bookmarkEnd w:id="1749"/>
      <w:bookmarkStart w:id="1750" w:name="_Toc282787539"/>
      <w:bookmarkEnd w:id="1750"/>
      <w:bookmarkStart w:id="1751" w:name="_Toc287853439"/>
      <w:bookmarkEnd w:id="1751"/>
      <w:bookmarkStart w:id="1752" w:name="_Toc152042514"/>
      <w:bookmarkEnd w:id="1752"/>
      <w:bookmarkStart w:id="1753" w:name="_Toc282779090"/>
      <w:r>
        <w:rPr>
          <w:rFonts w:hint="eastAsia" w:ascii="宋体" w:hAnsi="宋体" w:eastAsia="宋体" w:cs="宋体"/>
          <w:color w:val="000000"/>
          <w:kern w:val="2"/>
          <w:sz w:val="21"/>
          <w:szCs w:val="21"/>
          <w:lang w:val="en-US" w:eastAsia="zh-CN" w:bidi="ar"/>
        </w:rPr>
        <w:t>19.1  缺陷责任期的起算时间</w:t>
      </w:r>
      <w:bookmarkEnd w:id="1753"/>
    </w:p>
    <w:p>
      <w:pPr>
        <w:keepNext w:val="0"/>
        <w:keepLines w:val="0"/>
        <w:widowControl w:val="0"/>
        <w:suppressLineNumbers w:val="0"/>
        <w:spacing w:before="0" w:beforeAutospacing="0" w:after="0" w:afterAutospacing="0" w:line="400" w:lineRule="exact"/>
        <w:ind w:left="0" w:right="0" w:firstLine="420" w:firstLineChars="2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缺陷责任期自实际竣工日期起计算。在全部工程竣工验收前，已经发包人提前验收的单位工程，其缺陷责任期的起算日期相应提前。</w:t>
      </w:r>
    </w:p>
    <w:p>
      <w:pPr>
        <w:keepNext w:val="0"/>
        <w:keepLines w:val="0"/>
        <w:widowControl w:val="0"/>
        <w:suppressLineNumbers w:val="0"/>
        <w:spacing w:before="0" w:beforeAutospacing="0" w:after="0" w:afterAutospacing="0" w:line="400" w:lineRule="exact"/>
        <w:ind w:left="0" w:right="0" w:firstLine="420" w:firstLineChars="2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公路路面大中修养护工程自实际交工日期起计算1年；桥隧结构物大中修养护工程自实际交工日期起计算为2年。</w:t>
      </w:r>
    </w:p>
    <w:p>
      <w:pPr>
        <w:keepNext w:val="0"/>
        <w:keepLines w:val="0"/>
        <w:widowControl w:val="0"/>
        <w:suppressLineNumbers w:val="0"/>
        <w:spacing w:before="0" w:beforeAutospacing="0" w:after="0" w:afterAutospacing="0" w:line="400" w:lineRule="exact"/>
        <w:ind w:left="0" w:right="0" w:firstLine="420" w:firstLineChars="2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其他项目的缺陷责任由发包方与承包方合同约定。</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54" w:name="_Toc282787540"/>
      <w:bookmarkEnd w:id="1754"/>
      <w:bookmarkStart w:id="1755" w:name="_Toc288491616"/>
      <w:bookmarkEnd w:id="1755"/>
      <w:bookmarkStart w:id="1756" w:name="_Toc179632754"/>
      <w:bookmarkEnd w:id="1756"/>
      <w:bookmarkStart w:id="1757" w:name="_Toc283794288"/>
      <w:bookmarkEnd w:id="1757"/>
      <w:bookmarkStart w:id="1758" w:name="_Toc287853440"/>
      <w:bookmarkEnd w:id="1758"/>
      <w:bookmarkStart w:id="1759" w:name="_Toc144974707"/>
      <w:bookmarkEnd w:id="1759"/>
      <w:bookmarkStart w:id="1760" w:name="_Toc282779600"/>
      <w:bookmarkEnd w:id="1760"/>
      <w:bookmarkStart w:id="1761" w:name="_Toc282779091"/>
      <w:bookmarkEnd w:id="1761"/>
      <w:bookmarkStart w:id="1762" w:name="_Toc152045736"/>
      <w:bookmarkEnd w:id="1762"/>
      <w:bookmarkStart w:id="1763" w:name="_Toc152042515"/>
      <w:bookmarkEnd w:id="1763"/>
      <w:bookmarkStart w:id="1764" w:name="_Toc237923915"/>
      <w:r>
        <w:rPr>
          <w:rFonts w:hint="eastAsia" w:ascii="宋体" w:hAnsi="宋体" w:eastAsia="宋体" w:cs="宋体"/>
          <w:color w:val="000000"/>
          <w:kern w:val="2"/>
          <w:sz w:val="21"/>
          <w:szCs w:val="21"/>
          <w:lang w:val="en-US" w:eastAsia="zh-CN" w:bidi="ar"/>
        </w:rPr>
        <w:t>19.2  缺陷责任</w:t>
      </w:r>
      <w:bookmarkEnd w:id="176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19.2.1  承包人应在缺陷责任期内对已交付使用的工程承担缺陷责任。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19.2.2  缺陷责任期内，发包人对已接收使用的工程负责日常维护工作。发包人在使用过程中，发现已接收的工程存在新的缺陷或已修复的缺陷部位或部件又遭损坏的，承包人应负责修复，直至检验合格为止。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在缺陷责任期内，承包人应尽快完成在交工验收证书中写明的未完成工作，并完成对本工程缺陷的修复或监理人指令的修补工作。</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19.2.4  承包人不能在合理时间内修复缺陷的，发包人可自行修复或委托其他人修复，所需费用和利润的承担，按第19.2.3项约定办理。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65" w:name="_Toc283794289"/>
      <w:bookmarkEnd w:id="1765"/>
      <w:bookmarkStart w:id="1766" w:name="_Toc179632755"/>
      <w:bookmarkEnd w:id="1766"/>
      <w:bookmarkStart w:id="1767" w:name="_Toc287853441"/>
      <w:bookmarkEnd w:id="1767"/>
      <w:bookmarkStart w:id="1768" w:name="_Toc282787541"/>
      <w:bookmarkEnd w:id="1768"/>
      <w:bookmarkStart w:id="1769" w:name="_Toc288491617"/>
      <w:bookmarkEnd w:id="1769"/>
      <w:bookmarkStart w:id="1770" w:name="_Toc282779092"/>
      <w:bookmarkEnd w:id="1770"/>
      <w:bookmarkStart w:id="1771" w:name="_Toc152042516"/>
      <w:bookmarkEnd w:id="1771"/>
      <w:bookmarkStart w:id="1772" w:name="_Toc282779601"/>
      <w:bookmarkEnd w:id="1772"/>
      <w:bookmarkStart w:id="1773" w:name="_Toc237923916"/>
      <w:bookmarkEnd w:id="1773"/>
      <w:bookmarkStart w:id="1774" w:name="_Toc144974708"/>
      <w:bookmarkEnd w:id="1774"/>
      <w:bookmarkStart w:id="1775" w:name="_Toc152045737"/>
      <w:r>
        <w:rPr>
          <w:rFonts w:hint="eastAsia" w:ascii="宋体" w:hAnsi="宋体" w:eastAsia="宋体" w:cs="宋体"/>
          <w:color w:val="000000"/>
          <w:kern w:val="2"/>
          <w:sz w:val="21"/>
          <w:szCs w:val="21"/>
          <w:lang w:val="en-US" w:eastAsia="zh-CN" w:bidi="ar"/>
        </w:rPr>
        <w:t>19.3  缺陷责任期的延长</w:t>
      </w:r>
      <w:bookmarkEnd w:id="177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由于承包人原因造成某项缺陷或损坏使某项工程或工程设备不能按原定目标使用而需要再次检查、检验和修复的，发包人有权要求承包人相应延长缺陷责任期，但缺陷责任期最长不超过2年。</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76" w:name="_Toc144974709"/>
      <w:bookmarkEnd w:id="1776"/>
      <w:bookmarkStart w:id="1777" w:name="_Toc237923917"/>
      <w:bookmarkEnd w:id="1777"/>
      <w:bookmarkStart w:id="1778" w:name="_Toc152045738"/>
      <w:bookmarkEnd w:id="1778"/>
      <w:bookmarkStart w:id="1779" w:name="_Toc287853442"/>
      <w:bookmarkEnd w:id="1779"/>
      <w:bookmarkStart w:id="1780" w:name="_Toc283794290"/>
      <w:bookmarkEnd w:id="1780"/>
      <w:bookmarkStart w:id="1781" w:name="_Toc282779093"/>
      <w:bookmarkEnd w:id="1781"/>
      <w:bookmarkStart w:id="1782" w:name="_Toc152042517"/>
      <w:bookmarkEnd w:id="1782"/>
      <w:bookmarkStart w:id="1783" w:name="_Toc282787542"/>
      <w:bookmarkEnd w:id="1783"/>
      <w:bookmarkStart w:id="1784" w:name="_Toc288491618"/>
      <w:bookmarkEnd w:id="1784"/>
      <w:bookmarkStart w:id="1785" w:name="_Toc282779602"/>
      <w:bookmarkEnd w:id="1785"/>
      <w:bookmarkStart w:id="1786" w:name="_Toc179632756"/>
      <w:r>
        <w:rPr>
          <w:rFonts w:hint="eastAsia" w:ascii="宋体" w:hAnsi="宋体" w:eastAsia="宋体" w:cs="宋体"/>
          <w:color w:val="000000"/>
          <w:kern w:val="2"/>
          <w:sz w:val="21"/>
          <w:szCs w:val="21"/>
          <w:lang w:val="en-US" w:eastAsia="zh-CN" w:bidi="ar"/>
        </w:rPr>
        <w:t>19.4  进一步试验和试运行</w:t>
      </w:r>
      <w:bookmarkEnd w:id="178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任何一项缺陷或损坏修复后，经检查证明其影响了工程或工程设备的使用性能，承包人应重新进行合同约定的试验和试运行，试验和试运行的全部费用应由责任方承担。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87" w:name="_Toc282779603"/>
      <w:bookmarkEnd w:id="1787"/>
      <w:bookmarkStart w:id="1788" w:name="_Toc288491619"/>
      <w:bookmarkEnd w:id="1788"/>
      <w:bookmarkStart w:id="1789" w:name="_Toc237923918"/>
      <w:bookmarkEnd w:id="1789"/>
      <w:bookmarkStart w:id="1790" w:name="_Toc179632757"/>
      <w:bookmarkEnd w:id="1790"/>
      <w:bookmarkStart w:id="1791" w:name="_Toc282787543"/>
      <w:bookmarkEnd w:id="1791"/>
      <w:bookmarkStart w:id="1792" w:name="_Toc283794291"/>
      <w:bookmarkEnd w:id="1792"/>
      <w:bookmarkStart w:id="1793" w:name="_Toc282779094"/>
      <w:bookmarkEnd w:id="1793"/>
      <w:bookmarkStart w:id="1794" w:name="_Toc144974710"/>
      <w:bookmarkEnd w:id="1794"/>
      <w:bookmarkStart w:id="1795" w:name="_Toc287853443"/>
      <w:bookmarkEnd w:id="1795"/>
      <w:bookmarkStart w:id="1796" w:name="_Toc152045739"/>
      <w:bookmarkEnd w:id="1796"/>
      <w:bookmarkStart w:id="1797" w:name="_Toc152042518"/>
      <w:r>
        <w:rPr>
          <w:rFonts w:hint="eastAsia" w:ascii="宋体" w:hAnsi="宋体" w:eastAsia="宋体" w:cs="宋体"/>
          <w:color w:val="000000"/>
          <w:kern w:val="2"/>
          <w:sz w:val="21"/>
          <w:szCs w:val="21"/>
          <w:lang w:val="en-US" w:eastAsia="zh-CN" w:bidi="ar"/>
        </w:rPr>
        <w:t>19.5  承包人的进入权</w:t>
      </w:r>
      <w:bookmarkEnd w:id="179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缺陷责任期内承包人为缺陷修复工作需要，有权进入工程现场，但应遵守发包人的保安和保密规定。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承包人在缺陷修复施工过程中，应服从管养单位的有关安全管理规定，由于承包人自身原因造成的人员伤亡、设备和材料的损毁及罚款等责任由承包人自负。</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798" w:name="_Toc288491620"/>
      <w:bookmarkEnd w:id="1798"/>
      <w:bookmarkStart w:id="1799" w:name="_Toc282779604"/>
      <w:bookmarkEnd w:id="1799"/>
      <w:bookmarkStart w:id="1800" w:name="_Toc282787544"/>
      <w:bookmarkEnd w:id="1800"/>
      <w:bookmarkStart w:id="1801" w:name="_Toc144974711"/>
      <w:bookmarkEnd w:id="1801"/>
      <w:bookmarkStart w:id="1802" w:name="_Toc179632758"/>
      <w:bookmarkEnd w:id="1802"/>
      <w:bookmarkStart w:id="1803" w:name="_Toc152042519"/>
      <w:bookmarkEnd w:id="1803"/>
      <w:bookmarkStart w:id="1804" w:name="_Toc152045740"/>
      <w:bookmarkEnd w:id="1804"/>
      <w:bookmarkStart w:id="1805" w:name="_Toc287853444"/>
      <w:bookmarkEnd w:id="1805"/>
      <w:bookmarkStart w:id="1806" w:name="_Toc283794292"/>
      <w:bookmarkEnd w:id="1806"/>
      <w:bookmarkStart w:id="1807" w:name="_Toc237923919"/>
      <w:bookmarkEnd w:id="1807"/>
      <w:bookmarkStart w:id="1808" w:name="_Toc282779095"/>
      <w:r>
        <w:rPr>
          <w:rFonts w:hint="eastAsia" w:ascii="宋体" w:hAnsi="宋体" w:eastAsia="宋体" w:cs="宋体"/>
          <w:color w:val="000000"/>
          <w:kern w:val="2"/>
          <w:sz w:val="21"/>
          <w:szCs w:val="21"/>
          <w:lang w:val="en-US" w:eastAsia="zh-CN" w:bidi="ar"/>
        </w:rPr>
        <w:t>19.6  缺陷责任期终止证书</w:t>
      </w:r>
      <w:bookmarkEnd w:id="180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在第1.1.4.5目约定的缺陷责任期，包括根据第19.3款延长的期限终止后14天内，由监理人向承包人出具经发包人签认的缺陷责任期终止证书，并退还剩余的质量保证金。</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09" w:name="_Toc282779605"/>
      <w:bookmarkEnd w:id="1809"/>
      <w:bookmarkStart w:id="1810" w:name="_Toc179632759"/>
      <w:bookmarkEnd w:id="1810"/>
      <w:bookmarkStart w:id="1811" w:name="_Toc152042520"/>
      <w:bookmarkEnd w:id="1811"/>
      <w:bookmarkStart w:id="1812" w:name="_Toc282787545"/>
      <w:bookmarkEnd w:id="1812"/>
      <w:bookmarkStart w:id="1813" w:name="_Toc152045741"/>
      <w:bookmarkEnd w:id="1813"/>
      <w:bookmarkStart w:id="1814" w:name="_Toc283794293"/>
      <w:bookmarkEnd w:id="1814"/>
      <w:bookmarkStart w:id="1815" w:name="_Toc287853445"/>
      <w:bookmarkEnd w:id="1815"/>
      <w:bookmarkStart w:id="1816" w:name="_Toc237923920"/>
      <w:bookmarkEnd w:id="1816"/>
      <w:bookmarkStart w:id="1817" w:name="_Toc144974712"/>
      <w:bookmarkEnd w:id="1817"/>
      <w:bookmarkStart w:id="1818" w:name="_Toc288491621"/>
      <w:bookmarkEnd w:id="1818"/>
      <w:bookmarkStart w:id="1819" w:name="_Toc282779096"/>
      <w:r>
        <w:rPr>
          <w:rFonts w:hint="eastAsia" w:ascii="宋体" w:hAnsi="宋体" w:eastAsia="宋体" w:cs="宋体"/>
          <w:color w:val="000000"/>
          <w:kern w:val="2"/>
          <w:sz w:val="21"/>
          <w:szCs w:val="21"/>
          <w:lang w:val="en-US" w:eastAsia="zh-CN" w:bidi="ar"/>
        </w:rPr>
        <w:t>19.7  保修责任</w:t>
      </w:r>
      <w:bookmarkEnd w:id="181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820" w:name="_Toc152042521"/>
      <w:bookmarkEnd w:id="1820"/>
      <w:bookmarkStart w:id="1821" w:name="_Toc514936620"/>
      <w:bookmarkEnd w:id="1821"/>
      <w:bookmarkStart w:id="1822" w:name="_Toc15759"/>
      <w:bookmarkEnd w:id="1822"/>
      <w:bookmarkStart w:id="1823" w:name="_Toc32212"/>
      <w:bookmarkEnd w:id="1823"/>
      <w:bookmarkStart w:id="1824" w:name="_Toc152045742"/>
      <w:bookmarkEnd w:id="1824"/>
      <w:bookmarkStart w:id="1825" w:name="_Toc31788"/>
      <w:bookmarkEnd w:id="1825"/>
      <w:bookmarkStart w:id="1826" w:name="_Toc282779097"/>
      <w:bookmarkEnd w:id="1826"/>
      <w:bookmarkStart w:id="1827" w:name="_Toc282779606"/>
      <w:bookmarkEnd w:id="1827"/>
      <w:bookmarkStart w:id="1828" w:name="_Toc21426"/>
      <w:bookmarkEnd w:id="1828"/>
      <w:bookmarkStart w:id="1829" w:name="_Toc4212"/>
      <w:bookmarkEnd w:id="1829"/>
      <w:bookmarkStart w:id="1830" w:name="_Toc28684"/>
      <w:bookmarkEnd w:id="1830"/>
      <w:bookmarkStart w:id="1831" w:name="_Toc179632760"/>
      <w:bookmarkEnd w:id="1831"/>
      <w:bookmarkStart w:id="1832" w:name="_Toc10767"/>
      <w:bookmarkEnd w:id="1832"/>
      <w:bookmarkStart w:id="1833" w:name="_Toc283794294"/>
      <w:bookmarkEnd w:id="1833"/>
      <w:bookmarkStart w:id="1834" w:name="_Toc10164"/>
      <w:bookmarkEnd w:id="1834"/>
      <w:bookmarkStart w:id="1835" w:name="_Toc30580"/>
      <w:bookmarkEnd w:id="1835"/>
      <w:bookmarkStart w:id="1836" w:name="_Toc2208"/>
      <w:bookmarkEnd w:id="1836"/>
      <w:bookmarkStart w:id="1837" w:name="_Toc287853446"/>
      <w:bookmarkEnd w:id="1837"/>
      <w:bookmarkStart w:id="1838" w:name="_Toc27779"/>
      <w:bookmarkEnd w:id="1838"/>
      <w:bookmarkStart w:id="1839" w:name="_Toc118378091"/>
      <w:bookmarkEnd w:id="1839"/>
      <w:bookmarkStart w:id="1840" w:name="_Toc29786"/>
      <w:bookmarkEnd w:id="1840"/>
      <w:bookmarkStart w:id="1841" w:name="_Toc144974713"/>
      <w:bookmarkEnd w:id="1841"/>
      <w:bookmarkStart w:id="1842" w:name="_Toc4380"/>
      <w:bookmarkEnd w:id="1842"/>
      <w:bookmarkStart w:id="1843" w:name="_Toc282787546"/>
      <w:bookmarkEnd w:id="1843"/>
      <w:bookmarkStart w:id="1844" w:name="_Toc237923921"/>
      <w:bookmarkEnd w:id="1844"/>
      <w:bookmarkStart w:id="1845" w:name="_Toc288491622"/>
      <w:r>
        <w:rPr>
          <w:rFonts w:hint="eastAsia" w:ascii="宋体" w:hAnsi="宋体" w:eastAsia="宋体" w:cs="宋体"/>
          <w:color w:val="000000"/>
          <w:kern w:val="2"/>
          <w:sz w:val="21"/>
          <w:szCs w:val="21"/>
          <w:lang w:val="en-US" w:eastAsia="zh-CN" w:bidi="ar"/>
        </w:rPr>
        <w:t>20．保险</w:t>
      </w:r>
      <w:bookmarkEnd w:id="1845"/>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46" w:name="_Toc282787547"/>
      <w:bookmarkEnd w:id="1846"/>
      <w:bookmarkStart w:id="1847" w:name="_Toc144974714"/>
      <w:bookmarkEnd w:id="1847"/>
      <w:bookmarkStart w:id="1848" w:name="_Toc179632761"/>
      <w:bookmarkEnd w:id="1848"/>
      <w:bookmarkStart w:id="1849" w:name="_Toc152042522"/>
      <w:bookmarkEnd w:id="1849"/>
      <w:bookmarkStart w:id="1850" w:name="_Toc282779098"/>
      <w:bookmarkEnd w:id="1850"/>
      <w:bookmarkStart w:id="1851" w:name="_Toc283794295"/>
      <w:bookmarkEnd w:id="1851"/>
      <w:bookmarkStart w:id="1852" w:name="_Toc152045743"/>
      <w:bookmarkEnd w:id="1852"/>
      <w:bookmarkStart w:id="1853" w:name="_Toc288491623"/>
      <w:bookmarkEnd w:id="1853"/>
      <w:bookmarkStart w:id="1854" w:name="_Toc282779607"/>
      <w:bookmarkEnd w:id="1854"/>
      <w:bookmarkStart w:id="1855" w:name="_Toc287853447"/>
      <w:bookmarkEnd w:id="1855"/>
      <w:bookmarkStart w:id="1856" w:name="_Toc237923922"/>
      <w:r>
        <w:rPr>
          <w:rFonts w:hint="eastAsia" w:ascii="宋体" w:hAnsi="宋体" w:eastAsia="宋体" w:cs="宋体"/>
          <w:color w:val="000000"/>
          <w:kern w:val="2"/>
          <w:sz w:val="21"/>
          <w:szCs w:val="21"/>
          <w:lang w:val="en-US" w:eastAsia="zh-CN" w:bidi="ar"/>
        </w:rPr>
        <w:t>20.1  工程保险</w:t>
      </w:r>
      <w:bookmarkEnd w:id="185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除专用合同条款另有约定外，承包人应以发包人和承包人的共同名义向双方同意的保险人投保建筑工程一切险、安装工程一切险。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建筑工程一切险的投保内容：为本合同工程的养护工程、临时工程和设备及已运至施工工地用于养护工程的材料和设备所投的保险。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保险金额：工程量清单第100章（不含建筑工程一切险及第三者责任险的保险费）至第700章（或第1000章）的合计金额；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保险费率：在项目专用合同条款数据表中约定。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保险期限：开工日起直至本合同工程签发缺陷责任期终止证书止（即合同工期＋缺陷责任期）。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承包人应以发包人和承包人的共同名义投保建筑工程一切险。建筑工程一切险的保险费由承包人报价时列入工程量清单100章内。发包人在接到保险单后，将保险单费用直接向承包人支付。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57" w:name="_Toc288491624"/>
      <w:bookmarkEnd w:id="1857"/>
      <w:bookmarkStart w:id="1858" w:name="_Toc237923923"/>
      <w:bookmarkEnd w:id="1858"/>
      <w:bookmarkStart w:id="1859" w:name="_Toc287853448"/>
      <w:bookmarkEnd w:id="1859"/>
      <w:bookmarkStart w:id="1860" w:name="_Toc283794296"/>
      <w:bookmarkEnd w:id="1860"/>
      <w:bookmarkStart w:id="1861" w:name="_Toc179632762"/>
      <w:bookmarkEnd w:id="1861"/>
      <w:bookmarkStart w:id="1862" w:name="_Toc282779608"/>
      <w:bookmarkEnd w:id="1862"/>
      <w:bookmarkStart w:id="1863" w:name="_Toc144974715"/>
      <w:bookmarkEnd w:id="1863"/>
      <w:bookmarkStart w:id="1864" w:name="_Toc282787548"/>
      <w:bookmarkEnd w:id="1864"/>
      <w:bookmarkStart w:id="1865" w:name="_Toc282779099"/>
      <w:bookmarkEnd w:id="1865"/>
      <w:bookmarkStart w:id="1866" w:name="_Toc152042523"/>
      <w:bookmarkEnd w:id="1866"/>
      <w:bookmarkStart w:id="1867" w:name="_Toc152045744"/>
      <w:r>
        <w:rPr>
          <w:rFonts w:hint="eastAsia" w:ascii="宋体" w:hAnsi="宋体" w:eastAsia="宋体" w:cs="宋体"/>
          <w:color w:val="000000"/>
          <w:kern w:val="2"/>
          <w:sz w:val="21"/>
          <w:szCs w:val="21"/>
          <w:lang w:val="en-US" w:eastAsia="zh-CN" w:bidi="ar"/>
        </w:rPr>
        <w:t>20.2  人员工伤事故的保险</w:t>
      </w:r>
      <w:bookmarkEnd w:id="186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20.2.1  承包人员工伤事故的保险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承包人应依照有关法律规定参加工伤保险，为其履行合同所雇佣的全部人员，缴纳工伤保险费，并要求其分包人也进行此项保险。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20.2.2  发包人员工伤事故的保险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发包人应依照有关法律规定参加工伤保险，为其现场机构雇佣的全部人员，缴纳工伤保险费，并要求其监理人也进行此项保险。</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68" w:name="_Toc288491625"/>
      <w:bookmarkEnd w:id="1868"/>
      <w:bookmarkStart w:id="1869" w:name="_Toc144974716"/>
      <w:bookmarkEnd w:id="1869"/>
      <w:bookmarkStart w:id="1870" w:name="_Toc152045745"/>
      <w:bookmarkEnd w:id="1870"/>
      <w:bookmarkStart w:id="1871" w:name="_Toc237923924"/>
      <w:bookmarkEnd w:id="1871"/>
      <w:bookmarkStart w:id="1872" w:name="_Toc152042524"/>
      <w:bookmarkEnd w:id="1872"/>
      <w:bookmarkStart w:id="1873" w:name="_Toc179632763"/>
      <w:bookmarkEnd w:id="1873"/>
      <w:bookmarkStart w:id="1874" w:name="_Toc282779609"/>
      <w:bookmarkEnd w:id="1874"/>
      <w:bookmarkStart w:id="1875" w:name="_Toc282779100"/>
      <w:bookmarkEnd w:id="1875"/>
      <w:bookmarkStart w:id="1876" w:name="_Toc283794297"/>
      <w:bookmarkEnd w:id="1876"/>
      <w:bookmarkStart w:id="1877" w:name="_Toc287853449"/>
      <w:bookmarkEnd w:id="1877"/>
      <w:bookmarkStart w:id="1878" w:name="_Toc282787549"/>
      <w:r>
        <w:rPr>
          <w:rFonts w:hint="eastAsia" w:ascii="宋体" w:hAnsi="宋体" w:eastAsia="宋体" w:cs="宋体"/>
          <w:color w:val="000000"/>
          <w:kern w:val="2"/>
          <w:sz w:val="21"/>
          <w:szCs w:val="21"/>
          <w:lang w:val="en-US" w:eastAsia="zh-CN" w:bidi="ar"/>
        </w:rPr>
        <w:t>20.3  人身意外伤害险</w:t>
      </w:r>
      <w:bookmarkEnd w:id="187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20.3.1  发包人应在整个施工期间为其现场机构雇用的全部人员，投保人身意外伤害险，缴纳保险费，并要求其监理人也进行此项保险。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20.3.2  承包人应在整个施工期间为其现场机构雇用的全部人员，投保人身意外伤害险，缴纳保险费，并要求其分包人也进行此项保险。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对其为本工程合同工作的人员进行人身意外伤害保险，投保金额可暂定为30万元，按议定的保险费率办理。保险费由投标人报价时列入工程量清单第100章内。发包人在接到保险单后，将按照保险单的费用直接向承包人支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79" w:name="_Toc144974717"/>
      <w:bookmarkEnd w:id="1879"/>
      <w:bookmarkStart w:id="1880" w:name="_Toc282787550"/>
      <w:bookmarkEnd w:id="1880"/>
      <w:bookmarkStart w:id="1881" w:name="_Toc283794298"/>
      <w:bookmarkEnd w:id="1881"/>
      <w:bookmarkStart w:id="1882" w:name="_Toc282779101"/>
      <w:bookmarkEnd w:id="1882"/>
      <w:bookmarkStart w:id="1883" w:name="_Toc237923925"/>
      <w:bookmarkEnd w:id="1883"/>
      <w:bookmarkStart w:id="1884" w:name="_Toc288491626"/>
      <w:bookmarkEnd w:id="1884"/>
      <w:bookmarkStart w:id="1885" w:name="_Toc152045746"/>
      <w:bookmarkEnd w:id="1885"/>
      <w:bookmarkStart w:id="1886" w:name="_Toc179632764"/>
      <w:bookmarkEnd w:id="1886"/>
      <w:bookmarkStart w:id="1887" w:name="_Toc287853450"/>
      <w:bookmarkEnd w:id="1887"/>
      <w:bookmarkStart w:id="1888" w:name="_Toc152042525"/>
      <w:bookmarkEnd w:id="1888"/>
      <w:bookmarkStart w:id="1889" w:name="_Toc282779610"/>
      <w:r>
        <w:rPr>
          <w:rFonts w:hint="eastAsia" w:ascii="宋体" w:hAnsi="宋体" w:eastAsia="宋体" w:cs="宋体"/>
          <w:color w:val="000000"/>
          <w:kern w:val="2"/>
          <w:sz w:val="21"/>
          <w:szCs w:val="21"/>
          <w:lang w:val="en-US" w:eastAsia="zh-CN" w:bidi="ar"/>
        </w:rPr>
        <w:t>20.4  第三者责任险</w:t>
      </w:r>
      <w:bookmarkEnd w:id="1889"/>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20.4.2  在缺陷责任期终止证书颁发前，承包人应以承包人和发包人的共同名义，投保第20.4.1项约定的第三者责任险，其保险费率、保险金额等有关内容在专用合同条款中约定。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第三者责任险的保险费由承包人报价时列入工程量清单100章内。发包人在接到保险单后，将按照保险单的费用直接向承包人支付。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890" w:name="_Toc152042526"/>
      <w:bookmarkEnd w:id="1890"/>
      <w:bookmarkStart w:id="1891" w:name="_Toc152045747"/>
      <w:bookmarkEnd w:id="1891"/>
      <w:bookmarkStart w:id="1892" w:name="_Toc282779102"/>
      <w:bookmarkEnd w:id="1892"/>
      <w:bookmarkStart w:id="1893" w:name="_Toc282779611"/>
      <w:bookmarkEnd w:id="1893"/>
      <w:bookmarkStart w:id="1894" w:name="_Toc282787551"/>
      <w:bookmarkEnd w:id="1894"/>
      <w:bookmarkStart w:id="1895" w:name="_Toc288491627"/>
      <w:bookmarkEnd w:id="1895"/>
      <w:bookmarkStart w:id="1896" w:name="_Toc283794299"/>
      <w:bookmarkEnd w:id="1896"/>
      <w:bookmarkStart w:id="1897" w:name="_Toc144974718"/>
      <w:bookmarkEnd w:id="1897"/>
      <w:bookmarkStart w:id="1898" w:name="_Toc179632765"/>
      <w:bookmarkEnd w:id="1898"/>
      <w:bookmarkStart w:id="1899" w:name="_Toc287853451"/>
      <w:bookmarkEnd w:id="1899"/>
      <w:bookmarkStart w:id="1900" w:name="_Toc237923926"/>
      <w:r>
        <w:rPr>
          <w:rFonts w:hint="eastAsia" w:ascii="宋体" w:hAnsi="宋体" w:eastAsia="宋体" w:cs="宋体"/>
          <w:color w:val="000000"/>
          <w:kern w:val="2"/>
          <w:sz w:val="21"/>
          <w:szCs w:val="21"/>
          <w:lang w:val="en-US" w:eastAsia="zh-CN" w:bidi="ar"/>
        </w:rPr>
        <w:t>20.5  其他保险</w:t>
      </w:r>
      <w:bookmarkEnd w:id="190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除专用合同条款另有约定外，承包人应为其施工设备、进场的材料和工程设备等办理保险。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承包人为其施工设备等办理保险，其投标金额应足以现场重置。办理本款保险的一切费用均由承包人承担，并包括在工程量清单的单价及总额价中，发包人不单独支付。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01" w:name="_Toc144974719"/>
      <w:bookmarkEnd w:id="1901"/>
      <w:bookmarkStart w:id="1902" w:name="_Toc288491628"/>
      <w:bookmarkEnd w:id="1902"/>
      <w:bookmarkStart w:id="1903" w:name="_Toc283794300"/>
      <w:bookmarkEnd w:id="1903"/>
      <w:bookmarkStart w:id="1904" w:name="_Toc237923927"/>
      <w:bookmarkEnd w:id="1904"/>
      <w:bookmarkStart w:id="1905" w:name="_Toc282787552"/>
      <w:bookmarkEnd w:id="1905"/>
      <w:bookmarkStart w:id="1906" w:name="_Toc179632766"/>
      <w:bookmarkEnd w:id="1906"/>
      <w:bookmarkStart w:id="1907" w:name="_Toc282779103"/>
      <w:bookmarkEnd w:id="1907"/>
      <w:bookmarkStart w:id="1908" w:name="_Toc152045748"/>
      <w:bookmarkEnd w:id="1908"/>
      <w:bookmarkStart w:id="1909" w:name="_Toc152042527"/>
      <w:bookmarkEnd w:id="1909"/>
      <w:bookmarkStart w:id="1910" w:name="_Toc282779612"/>
      <w:bookmarkEnd w:id="1910"/>
      <w:bookmarkStart w:id="1911" w:name="_Toc287853452"/>
      <w:r>
        <w:rPr>
          <w:rFonts w:hint="eastAsia" w:ascii="宋体" w:hAnsi="宋体" w:eastAsia="宋体" w:cs="宋体"/>
          <w:color w:val="000000"/>
          <w:kern w:val="2"/>
          <w:sz w:val="21"/>
          <w:szCs w:val="21"/>
          <w:lang w:val="en-US" w:eastAsia="zh-CN" w:bidi="ar"/>
        </w:rPr>
        <w:t>20.6  对各项保险的一般要求</w:t>
      </w:r>
      <w:bookmarkEnd w:id="191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20.6.1  保险凭证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承包人向发包人提交各项保险生效的证据和保险单副本的期限：开工后56天内。保险单必须与专用合同条款约定的条件保持一致。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20.6.2  保险合同条款的变动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承包人需要变动保险合同条款时，应事先征得发包人同意，并通知监理人。保险人作出变动的，承包人应在收到保险人通知后立即通知发包人和监理人。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20.6.3  持续保险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承包人应与保险人保持联系，使保险人能够随时了解工程实施中的变动，并确保按保险合同条款要求持续保险。在整个合同期内，承包人应按合同条款规定保证足够的保险额。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20.6.4  保险金不足的补偿</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保险金不足以补偿损失的，应由承包人和（或）发包人按合同约定负责补偿。保险金不足以补偿损失的（包括免赔额和超过赔偿限额的部分），应由承包人和（或）发包人按合同约定负责补偿。</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20.6.5  未按约定投保的补救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（1）由于负有投保义务的一方当事人未按合同约定办理保险，或未能使保险持续有效的，另一方当事人可代为办理，所需费用由对方当事人承担。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由于负有投保义务的一方当事人未按合同约定办理某项保险，或未按保险单规定的条件和限期及时向保险人报告事故情况，或未按要求的保险期限进行投标，或未按要求投保足够的保险金额，导致受益人未能全部得到保险人的赔偿，原应从该项保险得到的保险金应由负有投保义务的一方当事人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20.6.6  报告义务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当保险事故发生时，投保人应按照保险单规定的条件和期限及时向保险人报告。</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912" w:name="_Toc282779104"/>
      <w:bookmarkEnd w:id="1912"/>
      <w:bookmarkStart w:id="1913" w:name="_Toc29034"/>
      <w:bookmarkEnd w:id="1913"/>
      <w:bookmarkStart w:id="1914" w:name="_Toc10442"/>
      <w:bookmarkEnd w:id="1914"/>
      <w:bookmarkStart w:id="1915" w:name="_Toc25030"/>
      <w:bookmarkEnd w:id="1915"/>
      <w:bookmarkStart w:id="1916" w:name="_Toc21314"/>
      <w:bookmarkEnd w:id="1916"/>
      <w:bookmarkStart w:id="1917" w:name="_Toc152042528"/>
      <w:bookmarkEnd w:id="1917"/>
      <w:bookmarkStart w:id="1918" w:name="_Toc24625"/>
      <w:bookmarkEnd w:id="1918"/>
      <w:bookmarkStart w:id="1919" w:name="_Toc288491629"/>
      <w:bookmarkEnd w:id="1919"/>
      <w:bookmarkStart w:id="1920" w:name="_Toc179632767"/>
      <w:bookmarkEnd w:id="1920"/>
      <w:bookmarkStart w:id="1921" w:name="_Toc2432"/>
      <w:bookmarkEnd w:id="1921"/>
      <w:bookmarkStart w:id="1922" w:name="_Toc948"/>
      <w:bookmarkEnd w:id="1922"/>
      <w:bookmarkStart w:id="1923" w:name="_Toc283794301"/>
      <w:bookmarkEnd w:id="1923"/>
      <w:bookmarkStart w:id="1924" w:name="_Toc152045749"/>
      <w:bookmarkEnd w:id="1924"/>
      <w:bookmarkStart w:id="1925" w:name="_Toc514936621"/>
      <w:bookmarkEnd w:id="1925"/>
      <w:bookmarkStart w:id="1926" w:name="_Toc282787553"/>
      <w:bookmarkEnd w:id="1926"/>
      <w:bookmarkStart w:id="1927" w:name="_Toc287853453"/>
      <w:bookmarkEnd w:id="1927"/>
      <w:bookmarkStart w:id="1928" w:name="_Toc29570"/>
      <w:bookmarkEnd w:id="1928"/>
      <w:bookmarkStart w:id="1929" w:name="_Toc19283"/>
      <w:bookmarkEnd w:id="1929"/>
      <w:bookmarkStart w:id="1930" w:name="_Toc118378092"/>
      <w:bookmarkEnd w:id="1930"/>
      <w:bookmarkStart w:id="1931" w:name="_Toc4404"/>
      <w:bookmarkEnd w:id="1931"/>
      <w:bookmarkStart w:id="1932" w:name="_Toc28141"/>
      <w:bookmarkEnd w:id="1932"/>
      <w:bookmarkStart w:id="1933" w:name="_Toc21835"/>
      <w:bookmarkEnd w:id="1933"/>
      <w:bookmarkStart w:id="1934" w:name="_Toc237923928"/>
      <w:bookmarkEnd w:id="1934"/>
      <w:bookmarkStart w:id="1935" w:name="_Toc282779613"/>
      <w:bookmarkEnd w:id="1935"/>
      <w:bookmarkStart w:id="1936" w:name="_Toc29303"/>
      <w:bookmarkEnd w:id="1936"/>
      <w:bookmarkStart w:id="1937" w:name="_Toc144974720"/>
      <w:r>
        <w:rPr>
          <w:rFonts w:hint="eastAsia" w:ascii="宋体" w:hAnsi="宋体" w:eastAsia="宋体" w:cs="宋体"/>
          <w:color w:val="000000"/>
          <w:kern w:val="2"/>
          <w:sz w:val="21"/>
          <w:szCs w:val="21"/>
          <w:lang w:val="en-US" w:eastAsia="zh-CN" w:bidi="ar"/>
        </w:rPr>
        <w:t>21．不可抗力</w:t>
      </w:r>
      <w:bookmarkEnd w:id="1937"/>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38" w:name="_Toc152042529"/>
      <w:bookmarkEnd w:id="1938"/>
      <w:bookmarkStart w:id="1939" w:name="_Toc152045750"/>
      <w:bookmarkEnd w:id="1939"/>
      <w:bookmarkStart w:id="1940" w:name="_Toc237923929"/>
      <w:bookmarkEnd w:id="1940"/>
      <w:bookmarkStart w:id="1941" w:name="_Toc287853454"/>
      <w:bookmarkEnd w:id="1941"/>
      <w:bookmarkStart w:id="1942" w:name="_Toc282779614"/>
      <w:bookmarkEnd w:id="1942"/>
      <w:bookmarkStart w:id="1943" w:name="_Toc179632768"/>
      <w:bookmarkEnd w:id="1943"/>
      <w:bookmarkStart w:id="1944" w:name="_Toc288491630"/>
      <w:bookmarkEnd w:id="1944"/>
      <w:bookmarkStart w:id="1945" w:name="_Toc282779105"/>
      <w:bookmarkEnd w:id="1945"/>
      <w:bookmarkStart w:id="1946" w:name="_Toc283794302"/>
      <w:bookmarkEnd w:id="1946"/>
      <w:bookmarkStart w:id="1947" w:name="_Toc282787554"/>
      <w:bookmarkEnd w:id="1947"/>
      <w:bookmarkStart w:id="1948" w:name="_Toc144974721"/>
      <w:r>
        <w:rPr>
          <w:rFonts w:hint="eastAsia" w:ascii="宋体" w:hAnsi="宋体" w:eastAsia="宋体" w:cs="宋体"/>
          <w:color w:val="000000"/>
          <w:kern w:val="2"/>
          <w:sz w:val="21"/>
          <w:szCs w:val="21"/>
          <w:lang w:val="en-US" w:eastAsia="zh-CN" w:bidi="ar"/>
        </w:rPr>
        <w:t>21.1  不可抗力的确认</w:t>
      </w:r>
      <w:bookmarkEnd w:id="194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49" w:name="_Toc287853455"/>
      <w:bookmarkEnd w:id="1949"/>
      <w:bookmarkStart w:id="1950" w:name="_Toc144974722"/>
      <w:bookmarkEnd w:id="1950"/>
      <w:bookmarkStart w:id="1951" w:name="_Toc152042530"/>
      <w:bookmarkEnd w:id="1951"/>
      <w:bookmarkStart w:id="1952" w:name="_Toc288491631"/>
      <w:bookmarkEnd w:id="1952"/>
      <w:bookmarkStart w:id="1953" w:name="_Toc282779615"/>
      <w:bookmarkEnd w:id="1953"/>
      <w:bookmarkStart w:id="1954" w:name="_Toc179632769"/>
      <w:bookmarkEnd w:id="1954"/>
      <w:bookmarkStart w:id="1955" w:name="_Toc152045751"/>
      <w:bookmarkEnd w:id="1955"/>
      <w:bookmarkStart w:id="1956" w:name="_Toc237923930"/>
      <w:bookmarkEnd w:id="1956"/>
      <w:bookmarkStart w:id="1957" w:name="_Toc283794303"/>
      <w:bookmarkEnd w:id="1957"/>
      <w:bookmarkStart w:id="1958" w:name="_Toc282787555"/>
      <w:bookmarkEnd w:id="1958"/>
      <w:bookmarkStart w:id="1959" w:name="_Toc282779106"/>
      <w:r>
        <w:rPr>
          <w:rFonts w:hint="eastAsia" w:ascii="宋体" w:hAnsi="宋体" w:eastAsia="宋体" w:cs="宋体"/>
          <w:color w:val="000000"/>
          <w:kern w:val="2"/>
          <w:sz w:val="21"/>
          <w:szCs w:val="21"/>
          <w:lang w:val="en-US" w:eastAsia="zh-CN" w:bidi="ar"/>
        </w:rPr>
        <w:t>21.2</w:t>
      </w:r>
      <w:bookmarkEnd w:id="1959"/>
      <w:r>
        <w:rPr>
          <w:rFonts w:hint="eastAsia" w:ascii="宋体" w:hAnsi="宋体" w:eastAsia="宋体" w:cs="宋体"/>
          <w:color w:val="000000"/>
          <w:kern w:val="2"/>
          <w:sz w:val="21"/>
          <w:szCs w:val="21"/>
          <w:lang w:val="en-US" w:eastAsia="zh-CN" w:bidi="ar"/>
        </w:rPr>
        <w:t xml:space="preserve">  不可抗力的通知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21.2.1  合同一方当事人遇到不可抗力事件，使其履行合同义务受到阻碍时，应立即通知合同另一方当事人和监理人，书面说明不可抗力和受阻碍的详细情况，并提供必要的证明。</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21.2.2  如不可抗力持续发生，合同一方当事人应及时向合同另一方当事人和监理人提交中间报告，说明不可抗力和履行合同受阻的情况，并于不可抗力事件结束后28天内提交最终报告及有关资料。</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60" w:name="_Toc237923931"/>
      <w:bookmarkEnd w:id="1960"/>
      <w:bookmarkStart w:id="1961" w:name="_Toc179632770"/>
      <w:bookmarkEnd w:id="1961"/>
      <w:bookmarkStart w:id="1962" w:name="_Toc282779616"/>
      <w:bookmarkEnd w:id="1962"/>
      <w:bookmarkStart w:id="1963" w:name="_Toc283794304"/>
      <w:bookmarkEnd w:id="1963"/>
      <w:bookmarkStart w:id="1964" w:name="_Toc287853456"/>
      <w:bookmarkEnd w:id="1964"/>
      <w:bookmarkStart w:id="1965" w:name="_Toc282779107"/>
      <w:bookmarkEnd w:id="1965"/>
      <w:bookmarkStart w:id="1966" w:name="_Toc282787556"/>
      <w:bookmarkEnd w:id="1966"/>
      <w:bookmarkStart w:id="1967" w:name="_Toc152042531"/>
      <w:bookmarkEnd w:id="1967"/>
      <w:bookmarkStart w:id="1968" w:name="_Toc144974723"/>
      <w:bookmarkEnd w:id="1968"/>
      <w:bookmarkStart w:id="1969" w:name="_Toc288491632"/>
      <w:bookmarkEnd w:id="1969"/>
      <w:bookmarkStart w:id="1970" w:name="_Toc152045752"/>
      <w:r>
        <w:rPr>
          <w:rFonts w:hint="eastAsia" w:ascii="宋体" w:hAnsi="宋体" w:eastAsia="宋体" w:cs="宋体"/>
          <w:color w:val="000000"/>
          <w:kern w:val="2"/>
          <w:sz w:val="21"/>
          <w:szCs w:val="21"/>
          <w:lang w:val="en-US" w:eastAsia="zh-CN" w:bidi="ar"/>
        </w:rPr>
        <w:t>21.3  不可抗力后果及其处理</w:t>
      </w:r>
      <w:bookmarkEnd w:id="197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21.3.1  不可抗力造成损害的责任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除专用合同条款另有约定外，不可抗力导致的人员伤亡、财产损失、费用增加和（或）工期延误等后果，由合同双方按以下原则承担：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（1）永久工程，包括已运至施工场地的材料和工程设备的损害，以及因工程损害造成的第三者人员伤亡和财产损失由发包人承担；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（2）承包人设备的损坏由承包人承担；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（3）发包人和承包人各自承担其人员伤亡和其他财产损失及其相关费用；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（4）承包人的停工损失由承包人承担，但停工期间应监理人要求照管工程和清理、修复工程的金额由发包人承担；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（5）不能按期竣工的，应合理延长工期，承包人不需支付逾期竣工违约金。发包人要求赶工的，承包人应采取赶工措施，赶工费用由发包人承担。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21.3.2  延迟履行期间发生的不可抗力</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合同一方当事人延迟履行，在延迟履行期间发生不可抗力的，不免除其责任。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21.3.3  避免和减少不可抗力损失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不可抗力发生后，发包人和承包人均应采取措施尽量避免和减少损失的扩大，任何一方没有采取有效措施导致损失扩大的，应对扩大的损失承担责任。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21.3.4  因不可抗力解除合同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一方当事人因不可抗力不能履行合同的，应当及时通知对方解除合同。合同解除后，承包人应按照第22.2.5项约定撤离施工场地。已经订货的材料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1971" w:name="_Toc283794305"/>
      <w:bookmarkEnd w:id="1971"/>
      <w:bookmarkStart w:id="1972" w:name="_Toc282779617"/>
      <w:bookmarkEnd w:id="1972"/>
      <w:bookmarkStart w:id="1973" w:name="_Toc282779108"/>
      <w:bookmarkEnd w:id="1973"/>
      <w:bookmarkStart w:id="1974" w:name="_Toc10837"/>
      <w:bookmarkEnd w:id="1974"/>
      <w:bookmarkStart w:id="1975" w:name="_Toc5180"/>
      <w:bookmarkEnd w:id="1975"/>
      <w:bookmarkStart w:id="1976" w:name="_Toc144974724"/>
      <w:bookmarkEnd w:id="1976"/>
      <w:bookmarkStart w:id="1977" w:name="_Toc282787557"/>
      <w:bookmarkEnd w:id="1977"/>
      <w:bookmarkStart w:id="1978" w:name="_Toc12548"/>
      <w:bookmarkEnd w:id="1978"/>
      <w:bookmarkStart w:id="1979" w:name="_Toc29384"/>
      <w:bookmarkEnd w:id="1979"/>
      <w:bookmarkStart w:id="1980" w:name="_Toc287853457"/>
      <w:bookmarkEnd w:id="1980"/>
      <w:bookmarkStart w:id="1981" w:name="_Toc27694"/>
      <w:bookmarkEnd w:id="1981"/>
      <w:bookmarkStart w:id="1982" w:name="_Toc17813"/>
      <w:bookmarkEnd w:id="1982"/>
      <w:bookmarkStart w:id="1983" w:name="_Toc152045753"/>
      <w:bookmarkEnd w:id="1983"/>
      <w:bookmarkStart w:id="1984" w:name="_Toc514936622"/>
      <w:bookmarkEnd w:id="1984"/>
      <w:bookmarkStart w:id="1985" w:name="_Toc288491633"/>
      <w:bookmarkEnd w:id="1985"/>
      <w:bookmarkStart w:id="1986" w:name="_Toc30803"/>
      <w:bookmarkEnd w:id="1986"/>
      <w:bookmarkStart w:id="1987" w:name="_Toc23338"/>
      <w:bookmarkEnd w:id="1987"/>
      <w:bookmarkStart w:id="1988" w:name="_Toc152042532"/>
      <w:bookmarkEnd w:id="1988"/>
      <w:bookmarkStart w:id="1989" w:name="_Toc31875"/>
      <w:bookmarkEnd w:id="1989"/>
      <w:bookmarkStart w:id="1990" w:name="_Toc50"/>
      <w:bookmarkEnd w:id="1990"/>
      <w:bookmarkStart w:id="1991" w:name="_Toc3967"/>
      <w:bookmarkEnd w:id="1991"/>
      <w:bookmarkStart w:id="1992" w:name="_Toc118378093"/>
      <w:bookmarkEnd w:id="1992"/>
      <w:bookmarkStart w:id="1993" w:name="_Toc237923932"/>
      <w:bookmarkEnd w:id="1993"/>
      <w:bookmarkStart w:id="1994" w:name="_Toc16181"/>
      <w:bookmarkEnd w:id="1994"/>
      <w:bookmarkStart w:id="1995" w:name="_Toc179632771"/>
      <w:bookmarkEnd w:id="1995"/>
      <w:bookmarkStart w:id="1996" w:name="_Toc18690"/>
      <w:r>
        <w:rPr>
          <w:rFonts w:hint="eastAsia" w:ascii="宋体" w:hAnsi="宋体" w:eastAsia="宋体" w:cs="宋体"/>
          <w:color w:val="000000"/>
          <w:kern w:val="2"/>
          <w:sz w:val="21"/>
          <w:szCs w:val="21"/>
          <w:lang w:val="en-US" w:eastAsia="zh-CN" w:bidi="ar"/>
        </w:rPr>
        <w:t>22．违约</w:t>
      </w:r>
      <w:bookmarkEnd w:id="1996"/>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1997" w:name="_Toc288491634"/>
      <w:bookmarkEnd w:id="1997"/>
      <w:bookmarkStart w:id="1998" w:name="_Toc287853458"/>
      <w:bookmarkEnd w:id="1998"/>
      <w:bookmarkStart w:id="1999" w:name="_Toc152042533"/>
      <w:bookmarkEnd w:id="1999"/>
      <w:bookmarkStart w:id="2000" w:name="_Toc237923933"/>
      <w:bookmarkEnd w:id="2000"/>
      <w:bookmarkStart w:id="2001" w:name="_Toc282787558"/>
      <w:bookmarkEnd w:id="2001"/>
      <w:bookmarkStart w:id="2002" w:name="_Toc152045754"/>
      <w:bookmarkEnd w:id="2002"/>
      <w:bookmarkStart w:id="2003" w:name="_Toc282779109"/>
      <w:bookmarkEnd w:id="2003"/>
      <w:bookmarkStart w:id="2004" w:name="_Toc179632772"/>
      <w:bookmarkEnd w:id="2004"/>
      <w:bookmarkStart w:id="2005" w:name="_Toc144974725"/>
      <w:bookmarkEnd w:id="2005"/>
      <w:bookmarkStart w:id="2006" w:name="_Toc283794306"/>
      <w:bookmarkEnd w:id="2006"/>
      <w:bookmarkStart w:id="2007" w:name="_Toc282779618"/>
      <w:r>
        <w:rPr>
          <w:rFonts w:hint="eastAsia" w:ascii="宋体" w:hAnsi="宋体" w:eastAsia="宋体" w:cs="宋体"/>
          <w:color w:val="000000"/>
          <w:kern w:val="2"/>
          <w:sz w:val="21"/>
          <w:szCs w:val="21"/>
          <w:lang w:val="en-US" w:eastAsia="zh-CN" w:bidi="ar"/>
        </w:rPr>
        <w:t>22.1  承包人违约</w:t>
      </w:r>
      <w:bookmarkEnd w:id="200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22.1.1  承包人违约的情形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在履行合同过程中发生的下列情况属承包人违约：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（1）承包人违反第1.8款或第4.3款的约定，私自将合同的全部或部分权利转让给其他人，或私自将合同的全部或部分义务转移给其他人；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（2）承包人违反第5.3款或第6.4款的约定，未经监理人批准，私自将已按合同约定进入施工现场的施工设备、临时设施、材料或工程设备撤离施工场地；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（3）承包人违反第5.4款的约定使用了不合格材料或工程设备，工程质量达不到标准要求，又拒绝清除不合格工程；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（4）承包人未能按合同进度计划及时完成合同约定的工作，已造成或预期造成工期延误；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（5）承包人在缺陷责任期内，未能对工程接收证书所列的缺陷清单的内容或缺陷责任期内发生的缺陷进行修复，而又拒绝按监理人指示再进行修补；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（6）承包人无法继续履行或明确表示不履行或实质上已停止履行合同；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（7）承包人未能按期开工；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（8）承包人违反第4.6款或6.3款的规定，未按承诺或未按监理人的要求及时配备称职的主要管理人员、技术骨干或关键施工设备；</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（9）经监理人和发包人检查，发现承包人有安全问题或有违反安全管理规章制度的情况；</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（10）承包人不按合同约定履行义务的其他情况。</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22.1.2  对承包人违约的处理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（1）承包人发生第22.1.1（6）目约定的违约情况时，发包人可通知承包人立即解除合同，并按有关法律处理。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（2）承包人发生除第22.1.1（6）目约定以外的其他违约情况时，监理人可向承包人发出整改通知，要求其在指定的期限内改正。承包人应承担其违约所引起的费用增加和（或）工期延误。</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（3）经检查证明承包人已采取了有效措施纠正违约行为，具备复工条件的，可由监理人签发复工通知复工。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（4）承包人发生第22.1.1项约定的违约情况时，无论发包人是否解除合同，发包人均有权向承包人处以项目专用合同条款中规定的违约金，并由发包人将其违约行为上报省级交通主管部门。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22.1.3  承包人违约解除合同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22.1.4  合同解除后的估价、付款和结清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（1）合同解除后，监理人按第3.5款商定或确定承包人实际完成工作的价值，以及承包人已提供的材料、施工设备、工程设备和临时工程等的价值。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（2）合同解除后，发包人应暂停对承包人的一切付款，查清各项付款和已扣款金额，包括承包人应支付的违约金。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（3）合同解除后，发包人应按第23.4款的约定向承包人索赔由于解除合同给发包人造成的损失。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（4）合同双方确认上述往来款项后，出具最终结清付款证书，结清全部合同款项。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（5）发包人和承包人未能就解除合同后的结清达成一致而形成争议的，按第24条的约定办理。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22.1.5  协议利益的转让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因承包人违约解除合同的，发包人有权要求承包人将其为实施合同而签订的材料和设备的订货协议或任何服务协议利益转让给发包人，并在解除合同后的14天内，依法办理转让手续。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22.1.6  紧急情况下无能力或不愿进行抢救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08" w:name="_Toc282787559"/>
      <w:bookmarkEnd w:id="2008"/>
      <w:r>
        <w:rPr>
          <w:rFonts w:hint="eastAsia" w:ascii="宋体" w:hAnsi="宋体" w:eastAsia="宋体" w:cs="宋体"/>
          <w:color w:val="000000"/>
          <w:kern w:val="2"/>
          <w:sz w:val="21"/>
          <w:szCs w:val="21"/>
          <w:lang w:val="en-US" w:eastAsia="zh-CN" w:bidi="ar"/>
        </w:rPr>
        <w:t>22.2  发包人违约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22.2.1  发包人违约的情形</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在履行合同过程中发生的下列情形，属发包人违约：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（1）发包人未能按合同约定支付预付款或合同价款，或拖延、拒绝批准付款申请和支付凭证，导致付款延误的；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（2）发包人原因造成停工的；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（3）监理人无正当理由没有在约定期限内发出复工指示，导致承包人无法复工的；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合同实施期间，由于整体规划的需进行项目改建的，则养护合同自然终止。发包人对承包人应承担终止合同前已完成的全部工程价款，其范围限于在已给承包人的暂付款中尚未包括的款项与款额，其单价和总额价应按合同的规定。还应支付下述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a．在工程量清单中第100章承包人驻地建设等总额支付项的应付款额，只要这些子目中的工作或服务已经进行或履行，或其中的工作或服务已经部分履行了的相应比例费用；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b．已经交付承包人或承包人有责任收货的、为本合同养护工程合理订购的材料、设备或货物的费用，发包人一经支付此项费用，该材料、设备或货物即成为发包人的财产；</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c．作为已合理开支的、确实属于承包人为了完成本合同工程而预期开支的任何款额，而该开支还没有包括在本款提及的各项其他支付之内；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d．承包人的员工在上述合同终止时的合理遣返费。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但是，发包人除按本款规定支付上述费用外，应有权要求承包人偿还各项预付款的未结算余额，以及在合同终止之日，按合同规定应由发包人向承包人收回的任何其他款额。根据本款规定应支付的费额，应由发包人在与承包人协商后确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（5）发包人不履行合同约定其他义务的。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22.2.2  承包人有权暂停施工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在规定的支付期到期后的15天之内，未能向承包人支付应付养护工程款额（扣除根据合同规定有权扣除的款额后），也未向承包人说明理由，则承包人有权终止对本合同项下的承包，并通知发包人，该终止在发出通知14天后生效。</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应按招标文件中规定计量支付的时间进行进度支付，如连续2次发生已计量应支付而未支付工程款的，承包人可停工（但不得拖欠农民工工资）。造成的损失由发包人承担。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22.2.3  发包人违约解除合同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（1）发生第22.2.1（4）目的违约情况时，承包人可书面通知发包人解除合同。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（2）承包人按22.2.2项暂停施工28天后，发包人仍不纠正违约行为的，承包人可向发包人发出解除合同通知。但承包人的这一行动不免除发包人承担的违约责任，也不影响承包人根据合同约定享有的索赔权利。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22.2.4  解除合同后的付款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因发包人违约解除合同的，发包人应在解除合同后28天内向承包人支付下列金额，承包人应在此期限内及时向发包人提交要求支付下列金额的有关资料和凭证：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（1）合同解除日以前所完成工作的价款；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（2）承包人为该工程施工订购并已付款的材料和其他物品的金额。发包人付款后，该材料和其他物品归发包人所有；</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（3）承包人为完成工程所发生的，而发包人未支付的金额；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（4）承包人撤离施工场地以及遣散承包人人员的金额；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（5）由于解除合同应赔偿的承包人损失；</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（6）按合同约定在合同解除日前应支付给承包人的其他金额。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发包人应按本项约定支付上述金额并退还质量保证金和履约担保，但有权要求承包人支付应偿还给发包人的各项金额。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22.2.5  解除合同后的承包人撤离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09" w:name="_Toc282779110"/>
      <w:bookmarkEnd w:id="2009"/>
      <w:bookmarkStart w:id="2010" w:name="_Toc288491635"/>
      <w:bookmarkEnd w:id="2010"/>
      <w:bookmarkStart w:id="2011" w:name="_Toc283794307"/>
      <w:bookmarkEnd w:id="2011"/>
      <w:bookmarkStart w:id="2012" w:name="_Toc287853459"/>
      <w:bookmarkEnd w:id="2012"/>
      <w:bookmarkStart w:id="2013" w:name="_Toc152042535"/>
      <w:bookmarkEnd w:id="2013"/>
      <w:bookmarkStart w:id="2014" w:name="_Toc282787560"/>
      <w:bookmarkEnd w:id="2014"/>
      <w:bookmarkStart w:id="2015" w:name="_Toc179632774"/>
      <w:bookmarkEnd w:id="2015"/>
      <w:bookmarkStart w:id="2016" w:name="_Toc237923935"/>
      <w:bookmarkEnd w:id="2016"/>
      <w:bookmarkStart w:id="2017" w:name="_Toc282779619"/>
      <w:bookmarkEnd w:id="2017"/>
      <w:bookmarkStart w:id="2018" w:name="_Toc152045756"/>
      <w:r>
        <w:rPr>
          <w:rFonts w:hint="eastAsia" w:ascii="宋体" w:hAnsi="宋体" w:eastAsia="宋体" w:cs="宋体"/>
          <w:color w:val="000000"/>
          <w:kern w:val="2"/>
          <w:sz w:val="21"/>
          <w:szCs w:val="21"/>
          <w:lang w:val="en-US" w:eastAsia="zh-CN" w:bidi="ar"/>
        </w:rPr>
        <w:t>22.3  第三人造成的违约</w:t>
      </w:r>
      <w:bookmarkEnd w:id="201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在履行合同过程中，一方当事人因第三人的原因造成违约的，应当向对方当事人承担违约责任。一方当事人和第三人之间的纠纷，依照法律规定或者按照约定解决。</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019" w:name="_Toc152042536"/>
      <w:bookmarkEnd w:id="2019"/>
      <w:bookmarkStart w:id="2020" w:name="_Toc282779111"/>
      <w:bookmarkEnd w:id="2020"/>
      <w:bookmarkStart w:id="2021" w:name="_Toc17292"/>
      <w:bookmarkEnd w:id="2021"/>
      <w:bookmarkStart w:id="2022" w:name="_Toc152045757"/>
      <w:bookmarkEnd w:id="2022"/>
      <w:bookmarkStart w:id="2023" w:name="_Toc287853460"/>
      <w:bookmarkEnd w:id="2023"/>
      <w:bookmarkStart w:id="2024" w:name="_Toc282779620"/>
      <w:bookmarkEnd w:id="2024"/>
      <w:bookmarkStart w:id="2025" w:name="_Toc144974727"/>
      <w:bookmarkEnd w:id="2025"/>
      <w:bookmarkStart w:id="2026" w:name="_Toc19838"/>
      <w:bookmarkEnd w:id="2026"/>
      <w:bookmarkStart w:id="2027" w:name="_Toc237923936"/>
      <w:bookmarkEnd w:id="2027"/>
      <w:bookmarkStart w:id="2028" w:name="_Toc288491636"/>
      <w:bookmarkEnd w:id="2028"/>
      <w:bookmarkStart w:id="2029" w:name="_Toc27599"/>
      <w:bookmarkEnd w:id="2029"/>
      <w:bookmarkStart w:id="2030" w:name="_Toc179632775"/>
      <w:bookmarkEnd w:id="2030"/>
      <w:bookmarkStart w:id="2031" w:name="_Toc7262"/>
      <w:bookmarkEnd w:id="2031"/>
      <w:bookmarkStart w:id="2032" w:name="_Toc20123"/>
      <w:bookmarkEnd w:id="2032"/>
      <w:bookmarkStart w:id="2033" w:name="_Toc282787561"/>
      <w:bookmarkEnd w:id="2033"/>
      <w:bookmarkStart w:id="2034" w:name="_Toc25177"/>
      <w:bookmarkEnd w:id="2034"/>
      <w:bookmarkStart w:id="2035" w:name="_Toc22045"/>
      <w:bookmarkEnd w:id="2035"/>
      <w:bookmarkStart w:id="2036" w:name="_Toc13177"/>
      <w:bookmarkEnd w:id="2036"/>
      <w:bookmarkStart w:id="2037" w:name="_Toc283794308"/>
      <w:bookmarkEnd w:id="2037"/>
      <w:bookmarkStart w:id="2038" w:name="_Toc15027"/>
      <w:bookmarkEnd w:id="2038"/>
      <w:bookmarkStart w:id="2039" w:name="_Toc2899"/>
      <w:bookmarkEnd w:id="2039"/>
      <w:bookmarkStart w:id="2040" w:name="_Toc20372"/>
      <w:bookmarkEnd w:id="2040"/>
      <w:bookmarkStart w:id="2041" w:name="_Toc514936623"/>
      <w:bookmarkEnd w:id="2041"/>
      <w:bookmarkStart w:id="2042" w:name="_Toc20021"/>
      <w:bookmarkEnd w:id="2042"/>
      <w:bookmarkStart w:id="2043" w:name="_Toc14927"/>
      <w:bookmarkEnd w:id="2043"/>
      <w:bookmarkStart w:id="2044" w:name="_Toc118378094"/>
      <w:r>
        <w:rPr>
          <w:rFonts w:hint="eastAsia" w:ascii="宋体" w:hAnsi="宋体" w:eastAsia="宋体" w:cs="宋体"/>
          <w:color w:val="000000"/>
          <w:kern w:val="2"/>
          <w:sz w:val="21"/>
          <w:szCs w:val="21"/>
          <w:lang w:val="en-US" w:eastAsia="zh-CN" w:bidi="ar"/>
        </w:rPr>
        <w:t>23．索赔</w:t>
      </w:r>
      <w:bookmarkEnd w:id="204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45" w:name="_Toc237923937"/>
      <w:bookmarkEnd w:id="2045"/>
      <w:bookmarkStart w:id="2046" w:name="_Toc152042537"/>
      <w:bookmarkEnd w:id="2046"/>
      <w:bookmarkStart w:id="2047" w:name="_Toc288491637"/>
      <w:bookmarkEnd w:id="2047"/>
      <w:bookmarkStart w:id="2048" w:name="_Toc282779621"/>
      <w:bookmarkEnd w:id="2048"/>
      <w:bookmarkStart w:id="2049" w:name="_Toc283794309"/>
      <w:bookmarkEnd w:id="2049"/>
      <w:bookmarkStart w:id="2050" w:name="_Toc152045758"/>
      <w:bookmarkEnd w:id="2050"/>
      <w:bookmarkStart w:id="2051" w:name="_Toc144974728"/>
      <w:bookmarkEnd w:id="2051"/>
      <w:bookmarkStart w:id="2052" w:name="_Toc179632776"/>
      <w:bookmarkEnd w:id="2052"/>
      <w:bookmarkStart w:id="2053" w:name="_Toc287853461"/>
      <w:bookmarkEnd w:id="2053"/>
      <w:bookmarkStart w:id="2054" w:name="_Toc282787562"/>
      <w:bookmarkEnd w:id="2054"/>
      <w:bookmarkStart w:id="2055" w:name="_Toc282779112"/>
      <w:r>
        <w:rPr>
          <w:rFonts w:hint="eastAsia" w:ascii="宋体" w:hAnsi="宋体" w:eastAsia="宋体" w:cs="宋体"/>
          <w:color w:val="000000"/>
          <w:kern w:val="2"/>
          <w:sz w:val="21"/>
          <w:szCs w:val="21"/>
          <w:lang w:val="en-US" w:eastAsia="zh-CN" w:bidi="ar"/>
        </w:rPr>
        <w:t>23.1  承包人索赔的提出</w:t>
      </w:r>
      <w:bookmarkEnd w:id="205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根据合同约定，承包人认为有权得到追加付款和（或）延长工期的，应按以下程序向发包人提出索赔：</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（1）承包人应在知道或应当知道索赔事件发生后28天内，向监理人递交索赔意向通知书，并说明发生索赔事件的事由。承包人未在前述28天内发出索赔意向通知书的，丧失要求追加付款和（或）延长工期的权利；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（2）承包人应在发出索赔意向通知书后28天内，向监理人正式递交索赔通知书。索赔通知书应详细说明索赔理由以及要求追加的付款金额和（或）延长的工期，并附必要的记录和证明材料；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（3）索赔事件具有连续影响的，承包人应按合理时间间隔继续递交延续索赔通知，说明连续影响的实际情况和记录，列出累计的追加付款金额和（或）工期延长天数；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（4）在索赔事件影响结束后的28天内，承包人应向监理人递交最终索赔通知书，说明最终要求索赔的追加付款金额和（或）延长的工期，并附必要的记录和证明材料。</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56" w:name="_Toc144974729"/>
      <w:bookmarkEnd w:id="2056"/>
      <w:bookmarkStart w:id="2057" w:name="_Toc152045759"/>
      <w:bookmarkEnd w:id="2057"/>
      <w:bookmarkStart w:id="2058" w:name="_Toc282779622"/>
      <w:bookmarkEnd w:id="2058"/>
      <w:bookmarkStart w:id="2059" w:name="_Toc283794310"/>
      <w:bookmarkEnd w:id="2059"/>
      <w:bookmarkStart w:id="2060" w:name="_Toc237923938"/>
      <w:bookmarkEnd w:id="2060"/>
      <w:bookmarkStart w:id="2061" w:name="_Toc282787563"/>
      <w:bookmarkEnd w:id="2061"/>
      <w:bookmarkStart w:id="2062" w:name="_Toc179632777"/>
      <w:bookmarkEnd w:id="2062"/>
      <w:bookmarkStart w:id="2063" w:name="_Toc152042538"/>
      <w:bookmarkEnd w:id="2063"/>
      <w:bookmarkStart w:id="2064" w:name="_Toc288491638"/>
      <w:bookmarkEnd w:id="2064"/>
      <w:bookmarkStart w:id="2065" w:name="_Toc282779113"/>
      <w:bookmarkEnd w:id="2065"/>
      <w:bookmarkStart w:id="2066" w:name="_Toc287853462"/>
      <w:r>
        <w:rPr>
          <w:rFonts w:hint="eastAsia" w:ascii="宋体" w:hAnsi="宋体" w:eastAsia="宋体" w:cs="宋体"/>
          <w:color w:val="000000"/>
          <w:kern w:val="2"/>
          <w:sz w:val="21"/>
          <w:szCs w:val="21"/>
          <w:lang w:val="en-US" w:eastAsia="zh-CN" w:bidi="ar"/>
        </w:rPr>
        <w:t>23.2  承包人索赔处理程序</w:t>
      </w:r>
      <w:bookmarkEnd w:id="206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（1）监理人收到承包人提交的索赔通知书后，应及时审查索赔通知书的内容、查验承包人的记录和证明材料，必要时监理人可要求承包人提交全部原始记录副本。</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于监理人按当时记录予以核实的那部分款额和（或）工期延长天数。</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（3）承包人接受索赔处理结果的，发包人应在作出索赔处理结果答复后28天内完成赔付。承包人不接受索赔处理结果的，按第24条的约定办理。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67" w:name="_Toc283794311"/>
      <w:bookmarkEnd w:id="2067"/>
      <w:bookmarkStart w:id="2068" w:name="_Toc282787564"/>
      <w:bookmarkEnd w:id="2068"/>
      <w:bookmarkStart w:id="2069" w:name="_Toc237923939"/>
      <w:bookmarkEnd w:id="2069"/>
      <w:bookmarkStart w:id="2070" w:name="_Toc282779623"/>
      <w:bookmarkEnd w:id="2070"/>
      <w:bookmarkStart w:id="2071" w:name="_Toc144974730"/>
      <w:bookmarkEnd w:id="2071"/>
      <w:bookmarkStart w:id="2072" w:name="_Toc152045760"/>
      <w:bookmarkEnd w:id="2072"/>
      <w:bookmarkStart w:id="2073" w:name="_Toc179632778"/>
      <w:bookmarkEnd w:id="2073"/>
      <w:bookmarkStart w:id="2074" w:name="_Toc287853463"/>
      <w:bookmarkEnd w:id="2074"/>
      <w:bookmarkStart w:id="2075" w:name="_Toc288491639"/>
      <w:bookmarkEnd w:id="2075"/>
      <w:bookmarkStart w:id="2076" w:name="_Toc152042539"/>
      <w:bookmarkEnd w:id="2076"/>
      <w:bookmarkStart w:id="2077" w:name="_Toc282779114"/>
      <w:r>
        <w:rPr>
          <w:rFonts w:hint="eastAsia" w:ascii="宋体" w:hAnsi="宋体" w:eastAsia="宋体" w:cs="宋体"/>
          <w:color w:val="000000"/>
          <w:kern w:val="2"/>
          <w:sz w:val="21"/>
          <w:szCs w:val="21"/>
          <w:lang w:val="en-US" w:eastAsia="zh-CN" w:bidi="ar"/>
        </w:rPr>
        <w:t>23.3  承包人提出索赔的期限</w:t>
      </w:r>
      <w:bookmarkEnd w:id="207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23.3.1  承包人按第17.5款的约定接受了竣工付款证书后，应被认为已无权再提出在合同工程接收证书颁发前所发生的任何索赔。</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shd w:val="clear" w:fill="7F7F7F"/>
        </w:rPr>
      </w:pPr>
      <w:r>
        <w:rPr>
          <w:rFonts w:hint="eastAsia" w:ascii="宋体" w:hAnsi="宋体" w:eastAsia="宋体" w:cs="宋体"/>
          <w:color w:val="000000"/>
          <w:kern w:val="2"/>
          <w:sz w:val="21"/>
          <w:szCs w:val="21"/>
          <w:lang w:val="en-US" w:eastAsia="zh-CN" w:bidi="ar"/>
        </w:rPr>
        <w:t>23.3.2  承包人按第17.6款的约定提交的最终结清申请单中，只限于提出工程接收证书颁发后发生的索赔。提出索赔的期限自接受最终结清证书时终止。</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078" w:name="_Toc283794312"/>
      <w:bookmarkEnd w:id="2078"/>
      <w:bookmarkStart w:id="2079" w:name="_Toc152042540"/>
      <w:bookmarkEnd w:id="2079"/>
      <w:bookmarkStart w:id="2080" w:name="_Toc152045761"/>
      <w:bookmarkEnd w:id="2080"/>
      <w:bookmarkStart w:id="2081" w:name="_Toc288491640"/>
      <w:bookmarkEnd w:id="2081"/>
      <w:bookmarkStart w:id="2082" w:name="_Toc282779624"/>
      <w:bookmarkEnd w:id="2082"/>
      <w:bookmarkStart w:id="2083" w:name="_Toc144974731"/>
      <w:bookmarkEnd w:id="2083"/>
      <w:bookmarkStart w:id="2084" w:name="_Toc237923940"/>
      <w:bookmarkEnd w:id="2084"/>
      <w:bookmarkStart w:id="2085" w:name="_Toc282787565"/>
      <w:bookmarkEnd w:id="2085"/>
      <w:bookmarkStart w:id="2086" w:name="_Toc287853464"/>
      <w:bookmarkEnd w:id="2086"/>
      <w:bookmarkStart w:id="2087" w:name="_Toc179632779"/>
      <w:bookmarkEnd w:id="2087"/>
      <w:bookmarkStart w:id="2088" w:name="_Toc282779115"/>
      <w:r>
        <w:rPr>
          <w:rFonts w:hint="eastAsia" w:ascii="宋体" w:hAnsi="宋体" w:eastAsia="宋体" w:cs="宋体"/>
          <w:color w:val="000000"/>
          <w:kern w:val="2"/>
          <w:sz w:val="21"/>
          <w:szCs w:val="21"/>
          <w:lang w:val="en-US" w:eastAsia="zh-CN" w:bidi="ar"/>
        </w:rPr>
        <w:t>23.4  发包人的索赔</w:t>
      </w:r>
      <w:bookmarkEnd w:id="208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23.4.2  监理人按第3.5款商定或确定发包人从承包人处得到赔付的金额和（或）缺陷责任期的延长期。承包人应付给发包人的金额可从拟支付给承包人的合同价款中扣除，或由承包人以其他方式支付给发包人。</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089" w:name="_Toc31217"/>
      <w:bookmarkEnd w:id="2089"/>
      <w:bookmarkStart w:id="2090" w:name="_Toc514936624"/>
      <w:bookmarkEnd w:id="2090"/>
      <w:bookmarkStart w:id="2091" w:name="_Toc20296"/>
      <w:bookmarkEnd w:id="2091"/>
      <w:bookmarkStart w:id="2092" w:name="_Toc13404"/>
      <w:bookmarkEnd w:id="2092"/>
      <w:bookmarkStart w:id="2093" w:name="_Toc237923941"/>
      <w:bookmarkEnd w:id="2093"/>
      <w:bookmarkStart w:id="2094" w:name="_Toc21466"/>
      <w:bookmarkEnd w:id="2094"/>
      <w:bookmarkStart w:id="2095" w:name="_Toc15184"/>
      <w:bookmarkEnd w:id="2095"/>
      <w:bookmarkStart w:id="2096" w:name="_Toc18556"/>
      <w:bookmarkEnd w:id="2096"/>
      <w:bookmarkStart w:id="2097" w:name="_Toc640"/>
      <w:bookmarkEnd w:id="2097"/>
      <w:bookmarkStart w:id="2098" w:name="_Toc282779116"/>
      <w:bookmarkEnd w:id="2098"/>
      <w:bookmarkStart w:id="2099" w:name="_Toc283794313"/>
      <w:bookmarkEnd w:id="2099"/>
      <w:bookmarkStart w:id="2100" w:name="_Toc6473"/>
      <w:bookmarkEnd w:id="2100"/>
      <w:bookmarkStart w:id="2101" w:name="_Toc25231"/>
      <w:bookmarkEnd w:id="2101"/>
      <w:bookmarkStart w:id="2102" w:name="_Toc282779625"/>
      <w:bookmarkEnd w:id="2102"/>
      <w:bookmarkStart w:id="2103" w:name="_Toc282787566"/>
      <w:bookmarkEnd w:id="2103"/>
      <w:bookmarkStart w:id="2104" w:name="_Toc118378095"/>
      <w:bookmarkEnd w:id="2104"/>
      <w:bookmarkStart w:id="2105" w:name="_Toc288491641"/>
      <w:bookmarkEnd w:id="2105"/>
      <w:bookmarkStart w:id="2106" w:name="_Toc179632780"/>
      <w:bookmarkEnd w:id="2106"/>
      <w:bookmarkStart w:id="2107" w:name="_Toc13270"/>
      <w:bookmarkEnd w:id="2107"/>
      <w:bookmarkStart w:id="2108" w:name="_Toc287853465"/>
      <w:bookmarkEnd w:id="2108"/>
      <w:bookmarkStart w:id="2109" w:name="_Toc14431"/>
      <w:bookmarkEnd w:id="2109"/>
      <w:bookmarkStart w:id="2110" w:name="_Toc152045762"/>
      <w:bookmarkEnd w:id="2110"/>
      <w:bookmarkStart w:id="2111" w:name="_Toc29125"/>
      <w:bookmarkEnd w:id="2111"/>
      <w:bookmarkStart w:id="2112" w:name="_Toc152042541"/>
      <w:bookmarkEnd w:id="2112"/>
      <w:bookmarkStart w:id="2113" w:name="_Toc21345"/>
      <w:bookmarkEnd w:id="2113"/>
      <w:bookmarkStart w:id="2114" w:name="_Toc144974732"/>
      <w:r>
        <w:rPr>
          <w:rFonts w:hint="eastAsia" w:ascii="宋体" w:hAnsi="宋体" w:eastAsia="宋体" w:cs="宋体"/>
          <w:color w:val="000000"/>
          <w:kern w:val="2"/>
          <w:sz w:val="21"/>
          <w:szCs w:val="21"/>
          <w:lang w:val="en-US" w:eastAsia="zh-CN" w:bidi="ar"/>
        </w:rPr>
        <w:t>24．争议的解决</w:t>
      </w:r>
      <w:bookmarkEnd w:id="211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115" w:name="_Toc144974733"/>
      <w:bookmarkEnd w:id="2115"/>
      <w:bookmarkStart w:id="2116" w:name="_Toc237923942"/>
      <w:bookmarkEnd w:id="2116"/>
      <w:bookmarkStart w:id="2117" w:name="_Toc282779117"/>
      <w:bookmarkEnd w:id="2117"/>
      <w:bookmarkStart w:id="2118" w:name="_Toc152042542"/>
      <w:bookmarkEnd w:id="2118"/>
      <w:bookmarkStart w:id="2119" w:name="_Toc152045763"/>
      <w:bookmarkEnd w:id="2119"/>
      <w:bookmarkStart w:id="2120" w:name="_Toc283794314"/>
      <w:bookmarkEnd w:id="2120"/>
      <w:bookmarkStart w:id="2121" w:name="_Toc287853466"/>
      <w:bookmarkEnd w:id="2121"/>
      <w:bookmarkStart w:id="2122" w:name="_Toc288491642"/>
      <w:bookmarkEnd w:id="2122"/>
      <w:bookmarkStart w:id="2123" w:name="_Toc282787567"/>
      <w:bookmarkEnd w:id="2123"/>
      <w:bookmarkStart w:id="2124" w:name="_Toc282779626"/>
      <w:bookmarkEnd w:id="2124"/>
      <w:bookmarkStart w:id="2125" w:name="_Toc179632781"/>
      <w:r>
        <w:rPr>
          <w:rFonts w:hint="eastAsia" w:ascii="宋体" w:hAnsi="宋体" w:eastAsia="宋体" w:cs="宋体"/>
          <w:color w:val="000000"/>
          <w:kern w:val="2"/>
          <w:sz w:val="21"/>
          <w:szCs w:val="21"/>
          <w:lang w:val="en-US" w:eastAsia="zh-CN" w:bidi="ar"/>
        </w:rPr>
        <w:t>24.1  争议的解决方式</w:t>
      </w:r>
      <w:bookmarkEnd w:id="2125"/>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（1）向约定的仲裁委员会申请仲裁；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（2）向有管辖权的人民法院提起诉讼。</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126" w:name="_Toc287853467"/>
      <w:bookmarkEnd w:id="2126"/>
      <w:bookmarkStart w:id="2127" w:name="_Toc152045764"/>
      <w:bookmarkEnd w:id="2127"/>
      <w:bookmarkStart w:id="2128" w:name="_Toc282787568"/>
      <w:bookmarkEnd w:id="2128"/>
      <w:bookmarkStart w:id="2129" w:name="_Toc152042543"/>
      <w:bookmarkEnd w:id="2129"/>
      <w:bookmarkStart w:id="2130" w:name="_Toc179632782"/>
      <w:bookmarkEnd w:id="2130"/>
      <w:bookmarkStart w:id="2131" w:name="_Toc282779627"/>
      <w:bookmarkEnd w:id="2131"/>
      <w:bookmarkStart w:id="2132" w:name="_Toc288491643"/>
      <w:bookmarkEnd w:id="2132"/>
      <w:bookmarkStart w:id="2133" w:name="_Toc237923943"/>
      <w:bookmarkEnd w:id="2133"/>
      <w:bookmarkStart w:id="2134" w:name="_Toc144974734"/>
      <w:bookmarkEnd w:id="2134"/>
      <w:bookmarkStart w:id="2135" w:name="_Toc283794315"/>
      <w:bookmarkEnd w:id="2135"/>
      <w:bookmarkStart w:id="2136" w:name="_Toc282779118"/>
      <w:r>
        <w:rPr>
          <w:rFonts w:hint="eastAsia" w:ascii="宋体" w:hAnsi="宋体" w:eastAsia="宋体" w:cs="宋体"/>
          <w:color w:val="000000"/>
          <w:kern w:val="2"/>
          <w:sz w:val="21"/>
          <w:szCs w:val="21"/>
          <w:lang w:val="en-US" w:eastAsia="zh-CN" w:bidi="ar"/>
        </w:rPr>
        <w:t>24.2  友好解决</w:t>
      </w:r>
      <w:bookmarkEnd w:id="2136"/>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在提请争议评审、仲裁或者诉讼前，以及在争议评审、仲裁或诉讼过程中，发包人和承包人均可共同努力友好协商解决争议。</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137" w:name="_Toc237923944"/>
      <w:bookmarkEnd w:id="2137"/>
      <w:bookmarkStart w:id="2138" w:name="_Toc287853468"/>
      <w:bookmarkEnd w:id="2138"/>
      <w:bookmarkStart w:id="2139" w:name="_Toc283794316"/>
      <w:bookmarkEnd w:id="2139"/>
      <w:bookmarkStart w:id="2140" w:name="_Toc152045765"/>
      <w:bookmarkEnd w:id="2140"/>
      <w:bookmarkStart w:id="2141" w:name="_Toc144974735"/>
      <w:bookmarkEnd w:id="2141"/>
      <w:bookmarkStart w:id="2142" w:name="_Toc282779628"/>
      <w:bookmarkEnd w:id="2142"/>
      <w:bookmarkStart w:id="2143" w:name="_Toc152042544"/>
      <w:bookmarkEnd w:id="2143"/>
      <w:bookmarkStart w:id="2144" w:name="_Toc282779119"/>
      <w:bookmarkEnd w:id="2144"/>
      <w:bookmarkStart w:id="2145" w:name="_Toc282787569"/>
      <w:bookmarkEnd w:id="2145"/>
      <w:bookmarkStart w:id="2146" w:name="_Toc179632783"/>
      <w:bookmarkEnd w:id="2146"/>
      <w:bookmarkStart w:id="2147" w:name="_Toc288491644"/>
      <w:r>
        <w:rPr>
          <w:rFonts w:hint="eastAsia" w:ascii="宋体" w:hAnsi="宋体" w:eastAsia="宋体" w:cs="宋体"/>
          <w:color w:val="000000"/>
          <w:kern w:val="2"/>
          <w:sz w:val="21"/>
          <w:szCs w:val="21"/>
          <w:lang w:val="en-US" w:eastAsia="zh-CN" w:bidi="ar"/>
        </w:rPr>
        <w:t>24.3  争议评审</w:t>
      </w:r>
      <w:bookmarkEnd w:id="214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24.3.1  采用争议评审的，发包人和承包人应在开工日后的28天内或在争议发生后，协商成立争议评审组。争议评审组由有合同管理和工程实践经验的专家组成。</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争议评审组由3人或5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24.3.2  合同双方的争议，应首先由申请人向争议评审组提交一份详细的评审申请报告，并附必要的文件、图纸和证明材料，申请人还应将上述报告的副本同时提交给被申请人和监理人。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24.3.3  被申请人在收到申请人评审申请报告副本后的28天内，向争议评审组提交一份答辩报告，并附证明材料。被申请人应将答辩报告的副本同时提交给申请人和监理人。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24.3.4  除专用合同条款另有约定外，争议评审组在收到合同双方报告后的14天内，邀请双方代表和有关人员举行调查会，向双方调查争议细节；必要时争议评审组可要求双方进一步提供补充材料。</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24.3.6  发包人和承包人接受评审意见的，由监理人根据评审意见拟定执行协议，经争议双方签字后作为合同的补充文件，并遵照执行。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148" w:name="_Toc282787570"/>
      <w:bookmarkEnd w:id="2148"/>
      <w:r>
        <w:rPr>
          <w:rFonts w:hint="eastAsia" w:ascii="宋体" w:hAnsi="宋体" w:eastAsia="宋体" w:cs="宋体"/>
          <w:color w:val="000000"/>
          <w:kern w:val="2"/>
          <w:sz w:val="21"/>
          <w:szCs w:val="21"/>
          <w:lang w:val="en-US" w:eastAsia="zh-CN" w:bidi="ar"/>
        </w:rPr>
        <w:t>24.4  仲裁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24.4.1  本款适用于采用仲裁方式最终解决争议的项目。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（1）对于未能友好解决或未能通过争议评审解决的争议，发包人或承包人任一方均有权提交给第24.1款约定的仲裁委员会仲裁。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（3）仲裁裁决是终局性的并对发包人和承包人双方具有约束力。</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（4）全部仲裁费用应由败诉方承担；或按仲裁委员会裁决的比例分担。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24.4.2  仲裁的执行。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（1）任何一方不履行仲裁机构的裁决的，对方可以向有管辖权的人民法院申请执行。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pStyle w:val="3"/>
        <w:widowControl/>
        <w:jc w:val="center"/>
        <w:rPr>
          <w:rFonts w:hint="eastAsia" w:ascii="宋体" w:hAnsi="宋体" w:eastAsia="宋体" w:cs="宋体"/>
          <w:b w:val="0"/>
          <w:bCs/>
          <w:color w:val="000000"/>
          <w:spacing w:val="-6"/>
          <w:kern w:val="2"/>
          <w:sz w:val="21"/>
          <w:szCs w:val="21"/>
        </w:rPr>
      </w:pPr>
      <w:bookmarkStart w:id="2149" w:name="_Toc282779629"/>
      <w:bookmarkEnd w:id="2149"/>
      <w:bookmarkStart w:id="2150" w:name="_Toc283794317"/>
      <w:bookmarkEnd w:id="2150"/>
      <w:bookmarkStart w:id="2151" w:name="_Toc282787571"/>
      <w:bookmarkEnd w:id="2151"/>
      <w:bookmarkStart w:id="2152" w:name="_Toc282779120"/>
      <w:bookmarkEnd w:id="2152"/>
      <w:bookmarkStart w:id="2153" w:name="_Toc288491645"/>
      <w:bookmarkEnd w:id="2153"/>
      <w:bookmarkStart w:id="2154" w:name="_Toc287853469"/>
      <w:r>
        <w:rPr>
          <w:rFonts w:hint="eastAsia" w:ascii="宋体" w:hAnsi="宋体" w:eastAsia="宋体" w:cs="宋体"/>
          <w:b w:val="0"/>
          <w:bCs/>
          <w:color w:val="000000"/>
          <w:spacing w:val="-6"/>
          <w:kern w:val="2"/>
          <w:sz w:val="21"/>
          <w:szCs w:val="21"/>
        </w:rPr>
        <w:br w:type="page"/>
      </w:r>
      <w:bookmarkEnd w:id="2154"/>
      <w:bookmarkStart w:id="2155" w:name="_Toc31112"/>
      <w:bookmarkEnd w:id="2155"/>
      <w:bookmarkStart w:id="2156" w:name="_Toc29361"/>
      <w:bookmarkEnd w:id="2156"/>
      <w:bookmarkStart w:id="2157" w:name="_Toc25168"/>
      <w:bookmarkEnd w:id="2157"/>
      <w:bookmarkStart w:id="2158" w:name="_Toc22254"/>
      <w:bookmarkEnd w:id="2158"/>
      <w:bookmarkStart w:id="2159" w:name="_Toc5035"/>
      <w:bookmarkEnd w:id="2159"/>
      <w:bookmarkStart w:id="2160" w:name="_Toc12436"/>
      <w:bookmarkEnd w:id="2160"/>
      <w:bookmarkStart w:id="2161" w:name="_Toc514936625"/>
      <w:bookmarkEnd w:id="2161"/>
      <w:bookmarkStart w:id="2162" w:name="_Toc31332"/>
      <w:bookmarkEnd w:id="2162"/>
      <w:bookmarkStart w:id="2163" w:name="_Toc118378096"/>
      <w:bookmarkEnd w:id="2163"/>
      <w:bookmarkStart w:id="2164" w:name="_Toc18944"/>
      <w:bookmarkEnd w:id="2164"/>
      <w:bookmarkStart w:id="2165" w:name="_Toc4425"/>
      <w:bookmarkEnd w:id="2165"/>
      <w:bookmarkStart w:id="2166" w:name="_Toc15025"/>
      <w:bookmarkEnd w:id="2166"/>
      <w:bookmarkStart w:id="2167" w:name="_Toc8463"/>
      <w:bookmarkEnd w:id="2167"/>
      <w:bookmarkStart w:id="2168" w:name="_Toc7675"/>
      <w:bookmarkEnd w:id="2168"/>
      <w:bookmarkStart w:id="2169" w:name="_Toc10845"/>
      <w:r>
        <w:rPr>
          <w:rFonts w:hint="eastAsia" w:ascii="宋体" w:hAnsi="宋体" w:eastAsia="宋体" w:cs="宋体"/>
          <w:b/>
          <w:bCs w:val="0"/>
          <w:color w:val="000000"/>
          <w:spacing w:val="-6"/>
          <w:kern w:val="2"/>
          <w:sz w:val="28"/>
          <w:szCs w:val="28"/>
        </w:rPr>
        <w:t>第二节  项目专用合同条款</w:t>
      </w:r>
      <w:bookmarkEnd w:id="2169"/>
    </w:p>
    <w:p>
      <w:pPr>
        <w:pStyle w:val="3"/>
        <w:widowControl/>
        <w:spacing w:before="360" w:beforeAutospacing="0" w:after="120" w:afterAutospacing="0" w:line="240" w:lineRule="auto"/>
        <w:jc w:val="center"/>
        <w:rPr>
          <w:rFonts w:hint="eastAsia" w:ascii="宋体" w:hAnsi="宋体" w:eastAsia="宋体" w:cs="宋体"/>
          <w:b w:val="0"/>
          <w:bCs/>
          <w:color w:val="000000"/>
          <w:spacing w:val="-6"/>
          <w:kern w:val="2"/>
          <w:sz w:val="21"/>
          <w:szCs w:val="21"/>
        </w:rPr>
      </w:pPr>
      <w:bookmarkStart w:id="2170" w:name="_Toc118378097"/>
      <w:bookmarkEnd w:id="2170"/>
      <w:bookmarkStart w:id="2171" w:name="_Toc10097"/>
      <w:bookmarkEnd w:id="2171"/>
      <w:bookmarkStart w:id="2172" w:name="_Toc282787572"/>
      <w:bookmarkEnd w:id="2172"/>
      <w:bookmarkStart w:id="2173" w:name="_Toc16210"/>
      <w:bookmarkEnd w:id="2173"/>
      <w:bookmarkStart w:id="2174" w:name="_Toc3664"/>
      <w:bookmarkEnd w:id="2174"/>
      <w:bookmarkStart w:id="2175" w:name="_Toc282779630"/>
      <w:bookmarkEnd w:id="2175"/>
      <w:bookmarkStart w:id="2176" w:name="_Toc283794318"/>
      <w:bookmarkEnd w:id="2176"/>
      <w:bookmarkStart w:id="2177" w:name="_Toc282779121"/>
      <w:bookmarkEnd w:id="2177"/>
      <w:bookmarkStart w:id="2178" w:name="_Toc24299"/>
      <w:bookmarkEnd w:id="2178"/>
      <w:bookmarkStart w:id="2179" w:name="_Toc287853470"/>
      <w:bookmarkEnd w:id="2179"/>
      <w:bookmarkStart w:id="2180" w:name="_Toc24712"/>
      <w:bookmarkEnd w:id="2180"/>
      <w:bookmarkStart w:id="2181" w:name="_Toc8109"/>
      <w:bookmarkEnd w:id="2181"/>
      <w:bookmarkStart w:id="2182" w:name="_Toc30610"/>
      <w:bookmarkEnd w:id="2182"/>
      <w:bookmarkStart w:id="2183" w:name="_Toc18983"/>
      <w:bookmarkEnd w:id="2183"/>
      <w:bookmarkStart w:id="2184" w:name="_Toc12565"/>
      <w:bookmarkEnd w:id="2184"/>
      <w:bookmarkStart w:id="2185" w:name="_Toc288491646"/>
      <w:bookmarkEnd w:id="2185"/>
      <w:bookmarkStart w:id="2186" w:name="_Toc7524"/>
      <w:bookmarkEnd w:id="2186"/>
      <w:bookmarkStart w:id="2187" w:name="_Toc6860"/>
      <w:bookmarkEnd w:id="2187"/>
      <w:bookmarkStart w:id="2188" w:name="_Toc28029"/>
      <w:bookmarkEnd w:id="2188"/>
      <w:bookmarkStart w:id="2189" w:name="_Toc11171"/>
      <w:bookmarkEnd w:id="2189"/>
      <w:bookmarkStart w:id="2190" w:name="_Toc514936626"/>
      <w:r>
        <w:rPr>
          <w:rFonts w:hint="eastAsia" w:ascii="宋体" w:hAnsi="宋体" w:eastAsia="宋体" w:cs="宋体"/>
          <w:b w:val="0"/>
          <w:bCs/>
          <w:color w:val="000000"/>
          <w:spacing w:val="-6"/>
          <w:kern w:val="2"/>
          <w:sz w:val="21"/>
          <w:szCs w:val="21"/>
        </w:rPr>
        <w:t>项目专用合同条款数据表</w:t>
      </w:r>
      <w:bookmarkEnd w:id="2190"/>
    </w:p>
    <w:p>
      <w:pPr>
        <w:keepNext w:val="0"/>
        <w:keepLines w:val="0"/>
        <w:widowControl w:val="0"/>
        <w:suppressLineNumbers w:val="0"/>
        <w:spacing w:before="0" w:beforeAutospacing="0" w:after="120" w:afterLines="50" w:afterAutospacing="0" w:line="36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说明：本数据表是项目专用合同条款中适用于本项目的信息和数据的归纳与提示，是项目专用合同条款的组成部分。</w:t>
      </w:r>
    </w:p>
    <w:tbl>
      <w:tblPr>
        <w:tblStyle w:val="24"/>
        <w:tblW w:w="908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1"/>
        <w:gridCol w:w="1104"/>
        <w:gridCol w:w="7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PrEx>
        <w:trPr>
          <w:trHeight w:val="606" w:hRule="atLeast"/>
        </w:trPr>
        <w:tc>
          <w:tcPr>
            <w:tcW w:w="821"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序号</w:t>
            </w:r>
          </w:p>
        </w:tc>
        <w:tc>
          <w:tcPr>
            <w:tcW w:w="1104" w:type="dxa"/>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条目号</w:t>
            </w:r>
          </w:p>
        </w:tc>
        <w:tc>
          <w:tcPr>
            <w:tcW w:w="7160" w:type="dxa"/>
            <w:tcBorders>
              <w:top w:val="single" w:color="auto" w:sz="12"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84"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1.1.2.2</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发包人：仙居县交通运输局</w:t>
            </w:r>
          </w:p>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地  址：仙居县         邮政编码：317300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60"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1.1.2.6</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w:t>
            </w:r>
            <w:r>
              <w:rPr>
                <w:rFonts w:hint="eastAsia" w:ascii="宋体" w:hAnsi="宋体" w:eastAsia="宋体" w:cs="宋体"/>
                <w:kern w:val="2"/>
                <w:sz w:val="21"/>
                <w:szCs w:val="21"/>
                <w:lang w:val="en-US" w:eastAsia="zh-CN" w:bidi="ar"/>
              </w:rPr>
              <w:t>签订合同后，通知承包人</w:t>
            </w:r>
          </w:p>
          <w:p>
            <w:pPr>
              <w:keepNext w:val="0"/>
              <w:keepLines w:val="0"/>
              <w:widowControl w:val="0"/>
              <w:suppressLineNumbers w:val="0"/>
              <w:spacing w:before="0" w:beforeAutospacing="0" w:after="0" w:afterAutospacing="0" w:line="300" w:lineRule="exact"/>
              <w:ind w:left="0" w:right="0" w:firstLine="210" w:firstLineChars="1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地  址：                       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24"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1.1.4.5</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缺陷责任期：自实际交工日期起计算</w:t>
            </w:r>
            <w:r>
              <w:rPr>
                <w:rFonts w:hint="eastAsia" w:ascii="宋体" w:hAnsi="宋体" w:eastAsia="宋体" w:cs="宋体"/>
                <w:color w:val="000000"/>
                <w:kern w:val="2"/>
                <w:sz w:val="21"/>
                <w:szCs w:val="21"/>
                <w:u w:val="single"/>
                <w:lang w:val="en-US" w:eastAsia="zh-CN" w:bidi="ar"/>
              </w:rPr>
              <w:t xml:space="preserve"> 1 </w:t>
            </w:r>
            <w:r>
              <w:rPr>
                <w:rFonts w:hint="eastAsia" w:ascii="宋体" w:hAnsi="宋体" w:eastAsia="宋体" w:cs="宋体"/>
                <w:color w:val="000000"/>
                <w:kern w:val="2"/>
                <w:sz w:val="21"/>
                <w:szCs w:val="21"/>
                <w:lang w:val="en-US" w:eastAsia="zh-CN" w:bidi="ar"/>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24"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1.6.3</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图纸需要修改和补充的，应由监理人取得发包人同意后，在该工程或工程相应部位施工前 14 天内签发图纸修改图和补充图给承包人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90"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3.1.1</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监理人在行使下列权力前需要经发包人事先批准：</w:t>
            </w:r>
          </w:p>
          <w:p>
            <w:pPr>
              <w:keepNext w:val="0"/>
              <w:keepLines w:val="0"/>
              <w:widowControl w:val="0"/>
              <w:suppressLineNumbers w:val="0"/>
              <w:spacing w:before="0" w:beforeAutospacing="0" w:after="0" w:afterAutospacing="0" w:line="300" w:lineRule="exact"/>
              <w:ind w:left="180" w:leftChars="50" w:right="0" w:firstLine="105" w:firstLineChars="5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（6）根据第15.3款发出的变更指示，需要经发包人事先批准。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1261"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5.2.1</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发包人是否提供材料：</w:t>
            </w:r>
            <w:r>
              <w:rPr>
                <w:rFonts w:hint="eastAsia" w:ascii="宋体" w:hAnsi="宋体" w:eastAsia="宋体" w:cs="宋体"/>
                <w:color w:val="000000"/>
                <w:kern w:val="2"/>
                <w:sz w:val="21"/>
                <w:szCs w:val="21"/>
                <w:u w:val="single"/>
                <w:lang w:val="en-US" w:eastAsia="zh-CN" w:bidi="ar"/>
              </w:rPr>
              <w:t xml:space="preserve">  否    </w:t>
            </w: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如发包人负责提供部分材料，相关规定如下：</w:t>
            </w:r>
            <w:r>
              <w:rPr>
                <w:rFonts w:hint="eastAsia" w:ascii="宋体" w:hAnsi="宋体" w:eastAsia="宋体" w:cs="宋体"/>
                <w:color w:val="000000"/>
                <w:kern w:val="2"/>
                <w:sz w:val="21"/>
                <w:szCs w:val="21"/>
                <w:u w:val="single"/>
                <w:lang w:val="en-US" w:eastAsia="zh-CN" w:bidi="ar"/>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75"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6.2</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发包人是否提供施工设备和临时设施：</w:t>
            </w:r>
            <w:r>
              <w:rPr>
                <w:rFonts w:hint="eastAsia" w:ascii="宋体" w:hAnsi="宋体" w:eastAsia="宋体" w:cs="宋体"/>
                <w:color w:val="000000"/>
                <w:kern w:val="2"/>
                <w:sz w:val="21"/>
                <w:szCs w:val="21"/>
                <w:u w:val="single"/>
                <w:lang w:val="en-US" w:eastAsia="zh-CN" w:bidi="ar"/>
              </w:rPr>
              <w:t xml:space="preserve">  否  </w:t>
            </w: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如发包人负责提供部分施工设备和临时设施，相关规定如下：</w:t>
            </w:r>
            <w:r>
              <w:rPr>
                <w:rFonts w:hint="eastAsia" w:ascii="宋体" w:hAnsi="宋体" w:eastAsia="宋体" w:cs="宋体"/>
                <w:color w:val="000000"/>
                <w:kern w:val="2"/>
                <w:sz w:val="21"/>
                <w:szCs w:val="21"/>
                <w:u w:val="single"/>
                <w:lang w:val="en-US" w:eastAsia="zh-CN" w:bidi="ar"/>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42"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11.5</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逾期交工违约金：</w:t>
            </w:r>
            <w:r>
              <w:rPr>
                <w:rFonts w:hint="eastAsia" w:ascii="宋体" w:hAnsi="宋体" w:eastAsia="宋体" w:cs="宋体"/>
                <w:color w:val="000000"/>
                <w:kern w:val="2"/>
                <w:sz w:val="21"/>
                <w:szCs w:val="21"/>
                <w:highlight w:val="none"/>
                <w:u w:val="single"/>
                <w:lang w:val="en-US" w:eastAsia="zh-CN" w:bidi="ar"/>
              </w:rPr>
              <w:t xml:space="preserve"> 3000 </w:t>
            </w:r>
            <w:r>
              <w:rPr>
                <w:rFonts w:hint="eastAsia" w:ascii="宋体" w:hAnsi="宋体" w:eastAsia="宋体" w:cs="宋体"/>
                <w:color w:val="000000"/>
                <w:kern w:val="2"/>
                <w:sz w:val="21"/>
                <w:szCs w:val="21"/>
                <w:highlight w:val="none"/>
                <w:lang w:val="en-US" w:eastAsia="zh-CN" w:bidi="ar"/>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5"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11.5</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逾期交工违约金限额：</w:t>
            </w:r>
            <w:r>
              <w:rPr>
                <w:rFonts w:hint="eastAsia" w:ascii="宋体" w:hAnsi="宋体" w:eastAsia="宋体" w:cs="宋体"/>
                <w:color w:val="000000"/>
                <w:kern w:val="2"/>
                <w:sz w:val="21"/>
                <w:szCs w:val="21"/>
                <w:highlight w:val="none"/>
                <w:u w:val="single"/>
                <w:lang w:val="en-US" w:eastAsia="zh-CN" w:bidi="ar"/>
              </w:rPr>
              <w:t xml:space="preserve"> 10 </w:t>
            </w:r>
            <w:r>
              <w:rPr>
                <w:rFonts w:hint="eastAsia" w:ascii="宋体" w:hAnsi="宋体" w:eastAsia="宋体" w:cs="宋体"/>
                <w:color w:val="000000"/>
                <w:kern w:val="2"/>
                <w:sz w:val="21"/>
                <w:szCs w:val="21"/>
                <w:highlight w:val="none"/>
                <w:lang w:val="en-US" w:eastAsia="zh-CN" w:bidi="ar"/>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5"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提前交工的奖金：</w:t>
            </w:r>
            <w:r>
              <w:rPr>
                <w:rFonts w:hint="eastAsia" w:ascii="宋体" w:hAnsi="宋体" w:eastAsia="宋体" w:cs="宋体"/>
                <w:color w:val="000000"/>
                <w:kern w:val="2"/>
                <w:sz w:val="21"/>
                <w:szCs w:val="21"/>
                <w:u w:val="single"/>
                <w:lang w:val="en-US" w:eastAsia="zh-CN" w:bidi="ar"/>
              </w:rPr>
              <w:t xml:space="preserve"> / </w:t>
            </w:r>
            <w:r>
              <w:rPr>
                <w:rFonts w:hint="eastAsia" w:ascii="宋体" w:hAnsi="宋体" w:eastAsia="宋体" w:cs="宋体"/>
                <w:color w:val="000000"/>
                <w:kern w:val="2"/>
                <w:sz w:val="21"/>
                <w:szCs w:val="21"/>
                <w:lang w:val="en-US" w:eastAsia="zh-CN" w:bidi="ar"/>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5" w:hRule="atLeast"/>
        </w:trPr>
        <w:tc>
          <w:tcPr>
            <w:tcW w:w="821"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w:t>
            </w:r>
          </w:p>
        </w:tc>
        <w:tc>
          <w:tcPr>
            <w:tcW w:w="11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w:t>
            </w:r>
          </w:p>
        </w:tc>
        <w:tc>
          <w:tcPr>
            <w:tcW w:w="716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firstLine="210" w:firstLineChars="10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提前交工的奖金限额：</w:t>
            </w:r>
            <w:r>
              <w:rPr>
                <w:rFonts w:hint="eastAsia" w:ascii="宋体" w:hAnsi="宋体" w:eastAsia="宋体" w:cs="宋体"/>
                <w:color w:val="000000"/>
                <w:kern w:val="2"/>
                <w:sz w:val="21"/>
                <w:szCs w:val="21"/>
                <w:u w:val="single"/>
                <w:lang w:val="en-US" w:eastAsia="zh-CN" w:bidi="ar"/>
              </w:rPr>
              <w:t xml:space="preserve"> / </w:t>
            </w:r>
            <w:r>
              <w:rPr>
                <w:rFonts w:hint="eastAsia" w:ascii="宋体" w:hAnsi="宋体" w:eastAsia="宋体" w:cs="宋体"/>
                <w:color w:val="000000"/>
                <w:kern w:val="2"/>
                <w:sz w:val="21"/>
                <w:szCs w:val="21"/>
                <w:lang w:val="en-US" w:eastAsia="zh-CN" w:bidi="ar"/>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7" w:hRule="atLeast"/>
        </w:trPr>
        <w:tc>
          <w:tcPr>
            <w:tcW w:w="821"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w:t>
            </w:r>
          </w:p>
        </w:tc>
        <w:tc>
          <w:tcPr>
            <w:tcW w:w="1104" w:type="dxa"/>
            <w:tcBorders>
              <w:top w:val="single" w:color="auto" w:sz="6" w:space="0"/>
              <w:left w:val="single" w:color="auto" w:sz="6" w:space="0"/>
              <w:bottom w:val="single" w:color="auto" w:sz="12"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16.1</w:t>
            </w:r>
          </w:p>
        </w:tc>
        <w:tc>
          <w:tcPr>
            <w:tcW w:w="7160" w:type="dxa"/>
            <w:tcBorders>
              <w:top w:val="single" w:color="auto" w:sz="6" w:space="0"/>
              <w:left w:val="single" w:color="auto" w:sz="6"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20" w:lineRule="exact"/>
              <w:ind w:left="0" w:right="0" w:firstLine="105" w:firstLineChars="50"/>
              <w:jc w:val="left"/>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合同期内不调价</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120" w:afterLines="50" w:afterAutospacing="0"/>
        <w:ind w:left="0" w:right="0" w:firstLine="7875" w:firstLineChars="37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br w:type="page"/>
      </w:r>
      <w:r>
        <w:rPr>
          <w:rFonts w:hint="eastAsia" w:ascii="宋体" w:hAnsi="宋体" w:eastAsia="宋体" w:cs="宋体"/>
          <w:color w:val="000000"/>
          <w:kern w:val="2"/>
          <w:sz w:val="21"/>
          <w:szCs w:val="21"/>
          <w:lang w:val="en-US" w:eastAsia="zh-CN" w:bidi="ar"/>
        </w:rPr>
        <w:t>续上表</w:t>
      </w:r>
    </w:p>
    <w:tbl>
      <w:tblPr>
        <w:tblStyle w:val="2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0"/>
        <w:gridCol w:w="1103"/>
        <w:gridCol w:w="7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PrEx>
        <w:trPr>
          <w:trHeight w:val="457" w:hRule="atLeast"/>
        </w:trPr>
        <w:tc>
          <w:tcPr>
            <w:tcW w:w="820"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序号</w:t>
            </w:r>
          </w:p>
        </w:tc>
        <w:tc>
          <w:tcPr>
            <w:tcW w:w="1103" w:type="dxa"/>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条目号</w:t>
            </w:r>
          </w:p>
        </w:tc>
        <w:tc>
          <w:tcPr>
            <w:tcW w:w="7158" w:type="dxa"/>
            <w:tcBorders>
              <w:top w:val="single" w:color="auto" w:sz="12"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17.2.1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highlight w:val="none"/>
                <w:vertAlign w:val="superscript"/>
              </w:rPr>
            </w:pPr>
            <w:r>
              <w:rPr>
                <w:rFonts w:hint="eastAsia" w:ascii="宋体" w:hAnsi="宋体" w:eastAsia="宋体" w:cs="宋体"/>
                <w:color w:val="000000"/>
                <w:kern w:val="2"/>
                <w:sz w:val="21"/>
                <w:szCs w:val="21"/>
                <w:highlight w:val="none"/>
                <w:lang w:val="en-US" w:eastAsia="zh-CN" w:bidi="ar"/>
              </w:rPr>
              <w:t>开工预付款金额：</w:t>
            </w:r>
            <w:r>
              <w:rPr>
                <w:rFonts w:hint="eastAsia" w:ascii="宋体" w:hAnsi="宋体" w:eastAsia="宋体" w:cs="宋体"/>
                <w:kern w:val="2"/>
                <w:sz w:val="21"/>
                <w:szCs w:val="21"/>
                <w:highlight w:val="none"/>
                <w:u w:val="single"/>
                <w:lang w:val="en-US" w:eastAsia="zh-CN" w:bidi="ar"/>
              </w:rPr>
              <w:t xml:space="preserve">40 </w:t>
            </w:r>
            <w:r>
              <w:rPr>
                <w:rFonts w:hint="eastAsia" w:ascii="宋体" w:hAnsi="宋体" w:eastAsia="宋体" w:cs="宋体"/>
                <w:kern w:val="2"/>
                <w:sz w:val="21"/>
                <w:szCs w:val="21"/>
                <w:highlight w:val="none"/>
                <w:lang w:val="en-US" w:eastAsia="zh-CN" w:bidi="ar"/>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vertAlign w:val="superscript"/>
              </w:rPr>
            </w:pPr>
            <w:r>
              <w:rPr>
                <w:rFonts w:hint="eastAsia" w:ascii="宋体" w:hAnsi="宋体" w:eastAsia="宋体" w:cs="宋体"/>
                <w:color w:val="000000"/>
                <w:kern w:val="2"/>
                <w:sz w:val="21"/>
                <w:szCs w:val="21"/>
                <w:lang w:val="en-US" w:eastAsia="zh-CN" w:bidi="ar"/>
              </w:rPr>
              <w:t>材料预付款比例：</w:t>
            </w:r>
            <w:r>
              <w:rPr>
                <w:rFonts w:hint="eastAsia" w:ascii="宋体" w:hAnsi="宋体" w:eastAsia="宋体" w:cs="宋体"/>
                <w:color w:val="000000"/>
                <w:kern w:val="2"/>
                <w:sz w:val="21"/>
                <w:szCs w:val="21"/>
                <w:u w:val="single"/>
                <w:lang w:val="en-US" w:eastAsia="zh-CN" w:bidi="ar"/>
              </w:rPr>
              <w:t xml:space="preserve"> / </w:t>
            </w:r>
            <w:r>
              <w:rPr>
                <w:rFonts w:hint="eastAsia" w:ascii="宋体" w:hAnsi="宋体" w:eastAsia="宋体" w:cs="宋体"/>
                <w:color w:val="000000"/>
                <w:kern w:val="2"/>
                <w:sz w:val="21"/>
                <w:szCs w:val="21"/>
                <w:lang w:val="en-US" w:eastAsia="zh-CN" w:bidi="ar"/>
              </w:rPr>
              <w:t>等主要材料单据所列费用的</w:t>
            </w:r>
            <w:r>
              <w:rPr>
                <w:rFonts w:hint="eastAsia" w:ascii="宋体" w:hAnsi="宋体" w:eastAsia="宋体" w:cs="宋体"/>
                <w:color w:val="000000"/>
                <w:kern w:val="2"/>
                <w:sz w:val="21"/>
                <w:szCs w:val="21"/>
                <w:u w:val="single"/>
                <w:lang w:val="en-US" w:eastAsia="zh-CN" w:bidi="ar"/>
              </w:rPr>
              <w:t xml:space="preserve"> / </w:t>
            </w:r>
            <w:r>
              <w:rPr>
                <w:rFonts w:hint="eastAsia" w:ascii="宋体" w:hAnsi="宋体" w:eastAsia="宋体" w:cs="宋体"/>
                <w:i/>
                <w:iCs w:val="0"/>
                <w:color w:val="000000"/>
                <w:kern w:val="2"/>
                <w:sz w:val="21"/>
                <w:szCs w:val="21"/>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17.3.2</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承包人在每个付款周期末向监理人提交进度付款申请单的份数：</w:t>
            </w:r>
            <w:r>
              <w:rPr>
                <w:rFonts w:hint="eastAsia" w:ascii="宋体" w:hAnsi="宋体" w:eastAsia="宋体" w:cs="宋体"/>
                <w:color w:val="000000"/>
                <w:kern w:val="2"/>
                <w:sz w:val="21"/>
                <w:szCs w:val="21"/>
                <w:u w:val="single"/>
                <w:lang w:val="en-US" w:eastAsia="zh-CN" w:bidi="ar"/>
              </w:rPr>
              <w:t xml:space="preserve"> 6 </w:t>
            </w:r>
            <w:r>
              <w:rPr>
                <w:rFonts w:hint="eastAsia" w:ascii="宋体" w:hAnsi="宋体" w:eastAsia="宋体" w:cs="宋体"/>
                <w:color w:val="000000"/>
                <w:kern w:val="2"/>
                <w:sz w:val="21"/>
                <w:szCs w:val="21"/>
                <w:lang w:val="en-US" w:eastAsia="zh-CN" w:bidi="ar"/>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17.3.3（1）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进度付款证书最低限额：</w:t>
            </w:r>
            <w:r>
              <w:rPr>
                <w:rFonts w:hint="eastAsia" w:ascii="宋体" w:hAnsi="宋体" w:eastAsia="宋体" w:cs="宋体"/>
                <w:color w:val="000000"/>
                <w:kern w:val="2"/>
                <w:sz w:val="21"/>
                <w:szCs w:val="21"/>
                <w:u w:val="singl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17.3.3（2）</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逾期付款违约金的利率：</w:t>
            </w:r>
            <w:r>
              <w:rPr>
                <w:rFonts w:hint="eastAsia" w:ascii="宋体" w:hAnsi="宋体" w:eastAsia="宋体" w:cs="宋体"/>
                <w:kern w:val="2"/>
                <w:sz w:val="21"/>
                <w:szCs w:val="21"/>
                <w:lang w:val="en-US" w:eastAsia="zh-CN" w:bidi="ar"/>
              </w:rPr>
              <w:t>中国人民银行发布的同期六个月以内(含六个月)短期贷款基准利率(不计复利)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17.4.1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质量保证金百分比：</w:t>
            </w:r>
            <w:r>
              <w:rPr>
                <w:rFonts w:hint="eastAsia" w:ascii="宋体" w:hAnsi="宋体" w:eastAsia="宋体" w:cs="宋体"/>
                <w:color w:val="000000"/>
                <w:kern w:val="2"/>
                <w:sz w:val="21"/>
                <w:szCs w:val="21"/>
                <w:u w:val="single"/>
                <w:lang w:val="en-US" w:eastAsia="zh-CN" w:bidi="ar"/>
              </w:rPr>
              <w:t>/ %</w:t>
            </w:r>
            <w:r>
              <w:rPr>
                <w:rFonts w:hint="eastAsia" w:ascii="宋体" w:hAnsi="宋体" w:eastAsia="宋体" w:cs="宋体"/>
                <w:color w:val="000000"/>
                <w:kern w:val="2"/>
                <w:sz w:val="21"/>
                <w:szCs w:val="21"/>
                <w:lang w:val="en-US" w:eastAsia="zh-CN" w:bidi="ar"/>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17.4.1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vertAlign w:val="superscript"/>
              </w:rPr>
            </w:pPr>
            <w:r>
              <w:rPr>
                <w:rFonts w:hint="eastAsia" w:ascii="宋体" w:hAnsi="宋体" w:eastAsia="宋体" w:cs="宋体"/>
                <w:color w:val="000000"/>
                <w:kern w:val="2"/>
                <w:sz w:val="21"/>
                <w:szCs w:val="21"/>
                <w:lang w:val="en-US" w:eastAsia="zh-CN" w:bidi="ar"/>
              </w:rPr>
              <w:t>质量保证金金额：</w:t>
            </w:r>
            <w:r>
              <w:rPr>
                <w:rFonts w:hint="eastAsia" w:ascii="宋体" w:hAnsi="宋体" w:eastAsia="宋体" w:cs="宋体"/>
                <w:kern w:val="2"/>
                <w:sz w:val="21"/>
                <w:szCs w:val="21"/>
                <w:lang w:val="en-US" w:eastAsia="zh-CN" w:bidi="ar"/>
              </w:rPr>
              <w:t>工程价款结算总额的1.5%，允许采用现金、支票或工程保函(包括银行 保函、保险机构保证保险保单和融资担保公司保函) 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17.5.1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承包人向监理人提交交工付款申请单（包括相关证明材料）的份数：</w:t>
            </w:r>
            <w:r>
              <w:rPr>
                <w:rFonts w:hint="eastAsia" w:ascii="宋体" w:hAnsi="宋体" w:eastAsia="宋体" w:cs="宋体"/>
                <w:color w:val="000000"/>
                <w:kern w:val="2"/>
                <w:sz w:val="21"/>
                <w:szCs w:val="21"/>
                <w:u w:val="single"/>
                <w:lang w:val="en-US" w:eastAsia="zh-CN" w:bidi="ar"/>
              </w:rPr>
              <w:t xml:space="preserve"> 6 </w:t>
            </w:r>
            <w:r>
              <w:rPr>
                <w:rFonts w:hint="eastAsia" w:ascii="宋体" w:hAnsi="宋体" w:eastAsia="宋体" w:cs="宋体"/>
                <w:color w:val="000000"/>
                <w:kern w:val="2"/>
                <w:sz w:val="21"/>
                <w:szCs w:val="21"/>
                <w:lang w:val="en-US" w:eastAsia="zh-CN" w:bidi="ar"/>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17.6.1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承包人向监理人提交最终结清申请单（包括相关证明材料）的份数：</w:t>
            </w:r>
            <w:r>
              <w:rPr>
                <w:rFonts w:hint="eastAsia" w:ascii="宋体" w:hAnsi="宋体" w:eastAsia="宋体" w:cs="宋体"/>
                <w:color w:val="000000"/>
                <w:kern w:val="2"/>
                <w:sz w:val="21"/>
                <w:szCs w:val="21"/>
                <w:u w:val="single"/>
                <w:lang w:val="en-US" w:eastAsia="zh-CN" w:bidi="ar"/>
              </w:rPr>
              <w:t xml:space="preserve"> 6 </w:t>
            </w:r>
            <w:r>
              <w:rPr>
                <w:rFonts w:hint="eastAsia" w:ascii="宋体" w:hAnsi="宋体" w:eastAsia="宋体" w:cs="宋体"/>
                <w:color w:val="000000"/>
                <w:kern w:val="2"/>
                <w:sz w:val="21"/>
                <w:szCs w:val="21"/>
                <w:lang w:val="en-US" w:eastAsia="zh-CN" w:bidi="ar"/>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18.2</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竣工资料的份数：</w:t>
            </w:r>
            <w:r>
              <w:rPr>
                <w:rFonts w:hint="eastAsia" w:ascii="宋体" w:hAnsi="宋体" w:eastAsia="宋体" w:cs="宋体"/>
                <w:color w:val="000000"/>
                <w:kern w:val="2"/>
                <w:sz w:val="21"/>
                <w:szCs w:val="21"/>
                <w:u w:val="single"/>
                <w:lang w:val="en-US" w:eastAsia="zh-CN" w:bidi="ar"/>
              </w:rPr>
              <w:t xml:space="preserve"> 6 </w:t>
            </w:r>
            <w:r>
              <w:rPr>
                <w:rFonts w:hint="eastAsia" w:ascii="宋体" w:hAnsi="宋体" w:eastAsia="宋体" w:cs="宋体"/>
                <w:color w:val="000000"/>
                <w:kern w:val="2"/>
                <w:sz w:val="21"/>
                <w:szCs w:val="21"/>
                <w:lang w:val="en-US" w:eastAsia="zh-CN" w:bidi="ar"/>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19.7</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保修期：</w:t>
            </w:r>
            <w:r>
              <w:rPr>
                <w:rFonts w:hint="eastAsia" w:ascii="宋体" w:hAnsi="宋体" w:eastAsia="宋体" w:cs="宋体"/>
                <w:kern w:val="2"/>
                <w:sz w:val="21"/>
                <w:szCs w:val="21"/>
                <w:u w:val="single"/>
                <w:lang w:val="en-US" w:eastAsia="zh-CN" w:bidi="ar"/>
              </w:rPr>
              <w:t>自实际交工日期起计算1年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20.1</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建筑工程一切险的保险费率：</w:t>
            </w:r>
            <w:r>
              <w:rPr>
                <w:rFonts w:hint="eastAsia" w:ascii="宋体" w:hAnsi="宋体" w:eastAsia="宋体" w:cs="宋体"/>
                <w:kern w:val="0"/>
                <w:sz w:val="21"/>
                <w:szCs w:val="21"/>
                <w:u w:val="single"/>
                <w:lang w:val="en-US" w:eastAsia="zh-CN" w:bidi="ar"/>
              </w:rPr>
              <w:t xml:space="preserve">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25</w:t>
            </w:r>
          </w:p>
        </w:tc>
        <w:tc>
          <w:tcPr>
            <w:tcW w:w="110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20.4.2</w:t>
            </w:r>
          </w:p>
        </w:tc>
        <w:tc>
          <w:tcPr>
            <w:tcW w:w="7158"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安全责任险的最低投保金额：50万元/人。安全责任险需涵盖第三者责任险，且第三者责任险不低于200万元，事故次数不限(不计免赔额)，投标金额为工程量第100章（不含工程一切险和安全生产责任险的保险费）至第700章的合计金额，保险费率按3‰估列，实际保险费率按保险公司的保险费率办理，且保费不高于3‰，超出部分由承包人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4" w:hRule="atLeast"/>
        </w:trPr>
        <w:tc>
          <w:tcPr>
            <w:tcW w:w="820"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26</w:t>
            </w:r>
          </w:p>
        </w:tc>
        <w:tc>
          <w:tcPr>
            <w:tcW w:w="1103" w:type="dxa"/>
            <w:tcBorders>
              <w:top w:val="single" w:color="auto" w:sz="6" w:space="0"/>
              <w:left w:val="single" w:color="auto" w:sz="6" w:space="0"/>
              <w:bottom w:val="single" w:color="auto" w:sz="12"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24.1</w:t>
            </w:r>
          </w:p>
        </w:tc>
        <w:tc>
          <w:tcPr>
            <w:tcW w:w="7158" w:type="dxa"/>
            <w:tcBorders>
              <w:top w:val="single" w:color="auto" w:sz="6" w:space="0"/>
              <w:left w:val="single" w:color="auto" w:sz="6"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争议的最终解决方式：诉讼</w:t>
            </w:r>
          </w:p>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color w:val="000000"/>
                <w:kern w:val="2"/>
                <w:sz w:val="21"/>
                <w:szCs w:val="21"/>
                <w:highlight w:val="none"/>
              </w:rPr>
            </w:pPr>
            <w:r>
              <w:rPr>
                <w:rFonts w:hint="eastAsia" w:ascii="宋体" w:hAnsi="宋体" w:eastAsia="宋体" w:cs="宋体"/>
                <w:kern w:val="0"/>
                <w:sz w:val="21"/>
                <w:szCs w:val="21"/>
                <w:highlight w:val="none"/>
                <w:lang w:val="en-US" w:eastAsia="zh-CN" w:bidi="ar"/>
              </w:rPr>
              <w:t>争议的最终解决地点：仙居县人民法院</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pacing w:val="-6"/>
          <w:kern w:val="2"/>
          <w:sz w:val="28"/>
          <w:szCs w:val="28"/>
        </w:rPr>
      </w:pPr>
      <w:bookmarkStart w:id="2191" w:name="_Toc26467"/>
      <w:bookmarkEnd w:id="2191"/>
      <w:bookmarkStart w:id="2192" w:name="_Toc6145"/>
      <w:bookmarkEnd w:id="2192"/>
      <w:bookmarkStart w:id="2193" w:name="_Toc4418"/>
      <w:bookmarkEnd w:id="2193"/>
      <w:bookmarkStart w:id="2194" w:name="_Toc287853471"/>
      <w:bookmarkEnd w:id="2194"/>
      <w:bookmarkStart w:id="2195" w:name="_Toc9446"/>
      <w:bookmarkEnd w:id="2195"/>
      <w:bookmarkStart w:id="2196" w:name="_Toc118378098"/>
      <w:bookmarkEnd w:id="2196"/>
      <w:bookmarkStart w:id="2197" w:name="_Toc282787573"/>
      <w:bookmarkEnd w:id="2197"/>
      <w:bookmarkStart w:id="2198" w:name="_Toc282779631"/>
      <w:bookmarkEnd w:id="2198"/>
      <w:bookmarkStart w:id="2199" w:name="_Toc288491647"/>
      <w:bookmarkEnd w:id="2199"/>
      <w:bookmarkStart w:id="2200" w:name="_Toc7664"/>
      <w:bookmarkEnd w:id="2200"/>
      <w:bookmarkStart w:id="2201" w:name="_Toc6460"/>
      <w:bookmarkEnd w:id="2201"/>
      <w:bookmarkStart w:id="2202" w:name="_Toc283794319"/>
      <w:bookmarkEnd w:id="2202"/>
      <w:bookmarkStart w:id="2203" w:name="_Toc514936627"/>
      <w:bookmarkEnd w:id="2203"/>
      <w:bookmarkStart w:id="2204" w:name="_Toc6587"/>
      <w:bookmarkEnd w:id="2204"/>
      <w:bookmarkStart w:id="2205" w:name="_Toc30900"/>
      <w:bookmarkEnd w:id="2205"/>
      <w:bookmarkStart w:id="2206" w:name="_Toc13468"/>
      <w:bookmarkEnd w:id="2206"/>
      <w:bookmarkStart w:id="2207" w:name="_Toc25986"/>
      <w:bookmarkEnd w:id="2207"/>
      <w:bookmarkStart w:id="2208" w:name="_Toc2276"/>
      <w:bookmarkEnd w:id="2208"/>
      <w:bookmarkStart w:id="2209" w:name="_Toc20153"/>
      <w:bookmarkEnd w:id="2209"/>
      <w:bookmarkStart w:id="2210" w:name="_Toc25318"/>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pacing w:val="-6"/>
          <w:kern w:val="2"/>
          <w:sz w:val="28"/>
          <w:szCs w:val="28"/>
        </w:rPr>
      </w:pPr>
      <w:r>
        <w:rPr>
          <w:rFonts w:hint="eastAsia" w:ascii="宋体" w:hAnsi="宋体" w:eastAsia="宋体" w:cs="宋体"/>
          <w:b/>
          <w:bCs w:val="0"/>
          <w:color w:val="000000"/>
          <w:spacing w:val="-6"/>
          <w:kern w:val="2"/>
          <w:sz w:val="28"/>
          <w:szCs w:val="28"/>
        </w:rPr>
        <w:t>项目专用合同条款</w:t>
      </w:r>
      <w:bookmarkEnd w:id="2210"/>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说明：本部分所列的项目专用合同条款是对“通用合同条款”中规定必须在专用合同条款中明确的内容的集中，招标人根据本项目的具体特点和实际需要编制的“项目专用合同条款”不限于本部分所列示例性内容。</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211" w:name="_Toc282779632"/>
      <w:bookmarkEnd w:id="2211"/>
      <w:bookmarkStart w:id="2212" w:name="_Toc282779123"/>
      <w:bookmarkEnd w:id="2212"/>
      <w:bookmarkStart w:id="2213" w:name="_Toc14208"/>
      <w:bookmarkEnd w:id="2213"/>
      <w:bookmarkStart w:id="2214" w:name="_Toc31683"/>
      <w:bookmarkEnd w:id="2214"/>
      <w:bookmarkStart w:id="2215" w:name="_Toc288491648"/>
      <w:bookmarkEnd w:id="2215"/>
      <w:bookmarkStart w:id="2216" w:name="_Toc25720"/>
      <w:bookmarkEnd w:id="2216"/>
      <w:bookmarkStart w:id="2217" w:name="_Toc9252"/>
      <w:bookmarkEnd w:id="2217"/>
      <w:bookmarkStart w:id="2218" w:name="_Toc17552"/>
      <w:bookmarkEnd w:id="2218"/>
      <w:bookmarkStart w:id="2219" w:name="_Toc11094"/>
      <w:bookmarkEnd w:id="2219"/>
      <w:bookmarkStart w:id="2220" w:name="_Toc287853472"/>
      <w:bookmarkEnd w:id="2220"/>
      <w:bookmarkStart w:id="2221" w:name="_Toc514936628"/>
      <w:bookmarkEnd w:id="2221"/>
      <w:bookmarkStart w:id="2222" w:name="_Toc283794320"/>
      <w:bookmarkEnd w:id="2222"/>
      <w:bookmarkStart w:id="2223" w:name="_Toc24326"/>
      <w:bookmarkEnd w:id="2223"/>
      <w:bookmarkStart w:id="2224" w:name="_Toc28689"/>
      <w:bookmarkEnd w:id="2224"/>
      <w:bookmarkStart w:id="2225" w:name="_Toc22678"/>
      <w:bookmarkEnd w:id="2225"/>
      <w:bookmarkStart w:id="2226" w:name="_Toc26492"/>
      <w:bookmarkEnd w:id="2226"/>
      <w:bookmarkStart w:id="2227" w:name="_Toc8796"/>
      <w:bookmarkEnd w:id="2227"/>
      <w:bookmarkStart w:id="2228" w:name="_Toc4326"/>
      <w:bookmarkEnd w:id="2228"/>
      <w:bookmarkStart w:id="2229" w:name="_Toc118378099"/>
      <w:bookmarkEnd w:id="2229"/>
      <w:bookmarkStart w:id="2230" w:name="_Toc282787574"/>
      <w:bookmarkEnd w:id="2230"/>
      <w:bookmarkStart w:id="2231" w:name="_Toc12856"/>
      <w:r>
        <w:rPr>
          <w:rFonts w:hint="eastAsia" w:ascii="宋体" w:hAnsi="宋体" w:eastAsia="宋体" w:cs="宋体"/>
          <w:color w:val="000000"/>
          <w:kern w:val="2"/>
          <w:sz w:val="21"/>
          <w:szCs w:val="21"/>
          <w:lang w:val="en-US" w:eastAsia="zh-CN" w:bidi="ar"/>
        </w:rPr>
        <w:t>1．一般约定</w:t>
      </w:r>
      <w:bookmarkEnd w:id="2231"/>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232" w:name="_Toc282787575"/>
      <w:bookmarkEnd w:id="2232"/>
      <w:bookmarkStart w:id="2233" w:name="_Toc288491649"/>
      <w:bookmarkEnd w:id="2233"/>
      <w:bookmarkStart w:id="2234" w:name="_Toc287853473"/>
      <w:bookmarkEnd w:id="2234"/>
      <w:bookmarkStart w:id="2235" w:name="_Toc282779633"/>
      <w:bookmarkEnd w:id="2235"/>
      <w:bookmarkStart w:id="2236" w:name="_Toc283794321"/>
      <w:bookmarkEnd w:id="2236"/>
      <w:bookmarkStart w:id="2237" w:name="_Toc282779124"/>
      <w:bookmarkEnd w:id="2237"/>
      <w:bookmarkStart w:id="2238" w:name="_Toc282784895"/>
      <w:r>
        <w:rPr>
          <w:rFonts w:hint="eastAsia" w:ascii="宋体" w:hAnsi="宋体" w:eastAsia="宋体" w:cs="宋体"/>
          <w:color w:val="000000"/>
          <w:kern w:val="2"/>
          <w:sz w:val="21"/>
          <w:szCs w:val="21"/>
          <w:lang w:val="en-US" w:eastAsia="zh-CN" w:bidi="ar"/>
        </w:rPr>
        <w:t>1.1  词语定义</w:t>
      </w:r>
      <w:bookmarkEnd w:id="2238"/>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  其他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本项补充1.1.6.1、1.1.6.2目：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1.1.6.1  根据浙江省地方标准《交通养护工程工程量清单计价规范》DB33/T 751—2009</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规定，“一类项目”是指规定范围和数量的检查、保养和小修项目，实行年度总承包的养护项目。</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2"/>
          <w:sz w:val="21"/>
          <w:szCs w:val="21"/>
          <w:lang w:val="en-US" w:eastAsia="zh-CN" w:bidi="ar"/>
        </w:rPr>
        <w:t>1.1.6.2  根据浙江省地方标准《交通养护工程工程量清单计价规范》DB33/T 751—2009规定，“二类项目”是指超过一类项目规定范围和数量的检查、保养和小修项目，实行按实结算的养护项目。</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239" w:name="_Toc283794323"/>
      <w:bookmarkEnd w:id="2239"/>
      <w:bookmarkStart w:id="2240" w:name="_Toc27764"/>
      <w:bookmarkEnd w:id="2240"/>
      <w:bookmarkStart w:id="2241" w:name="_Toc85"/>
      <w:bookmarkEnd w:id="2241"/>
      <w:bookmarkStart w:id="2242" w:name="_Toc282779126"/>
      <w:bookmarkEnd w:id="2242"/>
      <w:bookmarkStart w:id="2243" w:name="_Toc514936630"/>
      <w:bookmarkEnd w:id="2243"/>
      <w:bookmarkStart w:id="2244" w:name="_Toc118378100"/>
      <w:bookmarkEnd w:id="2244"/>
      <w:bookmarkStart w:id="2245" w:name="_Toc30660"/>
      <w:bookmarkEnd w:id="2245"/>
      <w:bookmarkStart w:id="2246" w:name="_Toc18074"/>
      <w:bookmarkEnd w:id="2246"/>
      <w:bookmarkStart w:id="2247" w:name="_Toc29608"/>
      <w:bookmarkEnd w:id="2247"/>
      <w:bookmarkStart w:id="2248" w:name="_Toc282779635"/>
      <w:bookmarkEnd w:id="2248"/>
      <w:bookmarkStart w:id="2249" w:name="_Toc6488"/>
      <w:bookmarkEnd w:id="2249"/>
      <w:bookmarkStart w:id="2250" w:name="_Toc282787578"/>
      <w:bookmarkEnd w:id="2250"/>
      <w:bookmarkStart w:id="2251" w:name="_Toc8734"/>
      <w:bookmarkEnd w:id="2251"/>
      <w:bookmarkStart w:id="2252" w:name="_Toc9115"/>
      <w:bookmarkEnd w:id="2252"/>
      <w:bookmarkStart w:id="2253" w:name="_Toc3771"/>
      <w:bookmarkEnd w:id="2253"/>
      <w:bookmarkStart w:id="2254" w:name="_Toc16170"/>
      <w:bookmarkEnd w:id="2254"/>
      <w:bookmarkStart w:id="2255" w:name="_Toc287853475"/>
      <w:bookmarkEnd w:id="2255"/>
      <w:bookmarkStart w:id="2256" w:name="_Toc5711"/>
      <w:bookmarkEnd w:id="2256"/>
      <w:bookmarkStart w:id="2257" w:name="_Toc20487"/>
      <w:bookmarkEnd w:id="2257"/>
      <w:bookmarkStart w:id="2258" w:name="_Toc288491651"/>
      <w:bookmarkEnd w:id="2258"/>
      <w:bookmarkStart w:id="2259" w:name="_Toc6312"/>
      <w:r>
        <w:rPr>
          <w:rFonts w:hint="eastAsia" w:ascii="宋体" w:hAnsi="宋体" w:eastAsia="宋体" w:cs="宋体"/>
          <w:color w:val="000000"/>
          <w:kern w:val="2"/>
          <w:sz w:val="21"/>
          <w:szCs w:val="21"/>
          <w:lang w:val="en-US" w:eastAsia="zh-CN" w:bidi="ar"/>
        </w:rPr>
        <w:t>4.承包人</w:t>
      </w:r>
      <w:bookmarkEnd w:id="2259"/>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260" w:name="_Toc282787579"/>
      <w:bookmarkEnd w:id="2260"/>
      <w:r>
        <w:rPr>
          <w:rFonts w:hint="eastAsia" w:ascii="宋体" w:hAnsi="宋体" w:eastAsia="宋体" w:cs="宋体"/>
          <w:color w:val="000000"/>
          <w:kern w:val="2"/>
          <w:sz w:val="21"/>
          <w:szCs w:val="21"/>
          <w:lang w:val="en-US" w:eastAsia="zh-CN" w:bidi="ar"/>
        </w:rPr>
        <w:t>4.1  承包人的一般义务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4.1.10  其他义务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本项第4.1.10（2）目细化为：</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2"/>
          <w:sz w:val="21"/>
          <w:szCs w:val="21"/>
          <w:lang w:val="en-US" w:eastAsia="zh-CN" w:bidi="ar"/>
        </w:rPr>
        <w:t>（2）承包人应严格遵守国家有关解决拖欠工程款和民工工资的法律、法规，及时支付工程中的材料、设备货款及民工工资等费用。承包人应分解工程款中的人工费用，及时向发包人提供人工费用数额。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系统。</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承包人的项目经理部是民工工资支付行为的主体，承包人的项目经理是民工工资支付的责任人。项目经理部要建立全体民工花名册和工资支付表，实行人工工资与其他工程款分账管理（本项目人工费用比例按《关于在全省工程建设领域改革保证金制度的通知》（浙建〔2020〕7号）规定，暂按</w:t>
      </w:r>
      <w:r>
        <w:rPr>
          <w:rFonts w:hint="eastAsia" w:ascii="宋体" w:hAnsi="宋体" w:eastAsia="宋体" w:cs="宋体"/>
          <w:color w:val="000000"/>
          <w:kern w:val="0"/>
          <w:sz w:val="21"/>
          <w:szCs w:val="21"/>
          <w:lang w:val="en-US" w:eastAsia="zh-CN"/>
        </w:rPr>
        <w:t>15</w:t>
      </w:r>
      <w:r>
        <w:rPr>
          <w:rFonts w:hint="eastAsia" w:ascii="宋体" w:hAnsi="宋体" w:eastAsia="宋体" w:cs="宋体"/>
          <w:color w:val="000000"/>
          <w:kern w:val="0"/>
          <w:sz w:val="21"/>
          <w:szCs w:val="21"/>
        </w:rPr>
        <w:t>％计列），由发包人开设人工工资专用账户，委托银行发放民工工资，确保将工资直接发放给民工本人，严禁发放给“包工头”或其他不具备用工主体资格的组织和个人。</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工资支付表应如实记录支付单位、支付时间、支付对象、支付数额、支付对象的身份证号和签字等信息。民工花名册和工资支付表应报发包人和监理人备查。</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承包人在本工程中，应严格执行《关于在全省工程建设领域改革保证金制度的通知》（浙建〔2020〕7号）、《浙江省企业工资支付管理办法》（浙江省人民政府第353号令）、《关于进一步落实交通建设领域施工企业农民工记工考勤卡等事宜的通知》（浙交〔2009〕39号）、《关于进一步完善建筑业企业农民工工资支付保证金制度意见的通知》（浙政发〔2012〕100号）、《浙江省人力资源和社会保障厅等6部门关于加强工程建设市场管理有效治理拖欠农民工工资问题的意见》（浙人社发〔2015〕148号）、《关于做好全省公路水运建设工程人工工资专用账户管理工作的通知》（浙交〔2018〕241号）”、关于印发《台州市交通建设领域“台州无欠薪”行动专项治理方案》的通知（台交［2017］210号）和《关于进一步落实交通建设领域施工企业农民工记工考勤卡等事宜的通知》（浙交［2009］39号）、《台州市交通建设领域农民工工资支付监督管理暂行办法》、《台州市交通建设领域农民工工资支付分账管理实施细则》的通知（台交【2018】210号）及“《关于印发〈浙江省交通建设领域“浙江无欠薪”行动专项治理方案〉的通知》（浙交〔2017〕145号）、《关于在全省工程建设领域改革保证金制度的通知》（浙建〔2020〕7号）、《国务院办公厅关于全面治理拖欠农民工工资问题的意见》（国办发〔2016〕1号）和《保障农民工工资支付条例》（中华人民共和国国务院令第724号）。</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承包人应严格执行《国务院办公厅关于全面治理拖欠农民工工资问题的意见》（国办发[2016]1号，2016年1月17日发布）、《浙江省企业工资支付管理办法》（浙江省人民政府令第353号）等规定；实行人工费用与其他工程款分账管理制度，将农民工工资与工程材料款等相分离。承包人应分解工程价款中的人工费用；发包人将按照工程承包合同约定的比例或承包人提供的人工费用数额将应付工程款中的人工费单独拨付到发包人开设的农民工工资（劳务费）专用账户，此间涉及的相关责任及费用均由承包人自行承担，发包人不另行计量支付。</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承包人应严格遵照国家有关法律、法规和政策，及时解决工程中的各种经济纠纷及民工工资等问题。若由此发生民工上访、围堵发包人或政府部门的办公场所等事件，其项目经理或承包人有关负责人在接到通知后，须2小时之内赶到事发地点，及时处理好相关事宜，否则，所造成的经济损失及一切责任由承包人承担。</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承包人应按照《关于进一步落实交通建设领域施工企业农民工记工考勤卡等事宜的通知》的规定，在用工后15天内与农民工签订劳动合同，根据劳动合同签订情况，统计农民工人数，按照实际人数办理记工考勤卡。承包人应将农民工工资保证金缴纳主管部门设立的农民工工资保证金专户（可采用银行保函或现金或保险保函或融资性担保公司保函），项目完工后或农民工提前离开工地，承包人应在合同约定期限之内对农民工工资进行结算，并一次性付清所有应发放的工资，同时承包人应在项目经理部和新闻媒介上分阶段公示民工工资支付情况，并公开2个监督电话（电话为当地交通主管部门和劳动保障部门等第三方单位可打通的号码），公示期符合相关规定。承包人应加强劳动合同管理，规范公路建设用工行为。不拖欠农民工工资，及时、足额发放农民工工资。</w:t>
      </w:r>
    </w:p>
    <w:p>
      <w:pPr>
        <w:keepNext w:val="0"/>
        <w:keepLines w:val="0"/>
        <w:widowControl w:val="0"/>
        <w:suppressLineNumbers w:val="0"/>
        <w:spacing w:before="0" w:beforeAutospacing="0" w:after="0" w:afterAutospacing="0" w:line="420" w:lineRule="exact"/>
        <w:ind w:left="0" w:right="0" w:firstLine="43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本款约定的内容如相关部门有最新规定的，按相关部门最新文件执行。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通用合同条款4.1.10第（4）目细化为：</w:t>
      </w:r>
    </w:p>
    <w:p>
      <w:pPr>
        <w:keepNext w:val="0"/>
        <w:keepLines w:val="0"/>
        <w:widowControl w:val="0"/>
        <w:suppressLineNumbers w:val="0"/>
        <w:spacing w:before="0" w:beforeAutospacing="0" w:after="0" w:afterAutospacing="0" w:line="400" w:lineRule="exact"/>
        <w:ind w:right="0" w:firstLine="420" w:firstLineChars="200"/>
        <w:jc w:val="both"/>
        <w:rPr>
          <w:rFonts w:hint="eastAsia" w:ascii="宋体" w:hAnsi="宋体" w:eastAsia="宋体" w:cs="宋体"/>
          <w:bCs/>
          <w:color w:val="000000"/>
          <w:kern w:val="2"/>
          <w:sz w:val="21"/>
          <w:szCs w:val="21"/>
        </w:rPr>
      </w:pPr>
      <w:r>
        <w:rPr>
          <w:rFonts w:hint="eastAsia" w:ascii="宋体" w:hAnsi="宋体" w:eastAsia="宋体" w:cs="宋体"/>
          <w:bCs/>
          <w:color w:val="000000"/>
          <w:kern w:val="2"/>
          <w:sz w:val="21"/>
          <w:szCs w:val="21"/>
          <w:lang w:val="en-US" w:eastAsia="zh-CN" w:bidi="ar"/>
        </w:rPr>
        <w:t>（4）根据合同的各项规定，承包人应负责做好合同规定的养护组织设计，精心组织养护，加强养护质量控制，完成本合同公路养护工程。为此，承包人应提供所需的全部监督管理、劳务、材料、设备、养护装备和其它物品。</w:t>
      </w:r>
    </w:p>
    <w:p>
      <w:pPr>
        <w:keepNext w:val="0"/>
        <w:keepLines w:val="0"/>
        <w:widowControl w:val="0"/>
        <w:suppressLineNumbers w:val="0"/>
        <w:spacing w:before="0" w:beforeAutospacing="0" w:after="0" w:afterAutospacing="0" w:line="400" w:lineRule="exact"/>
        <w:ind w:right="0" w:firstLine="420" w:firstLineChars="200"/>
        <w:jc w:val="both"/>
        <w:rPr>
          <w:rFonts w:hint="eastAsia" w:ascii="宋体" w:hAnsi="宋体" w:eastAsia="宋体" w:cs="宋体"/>
          <w:bCs/>
          <w:color w:val="000000"/>
          <w:kern w:val="2"/>
          <w:sz w:val="21"/>
          <w:szCs w:val="21"/>
          <w:highlight w:val="none"/>
          <w:lang w:val="en-US" w:eastAsia="zh-CN" w:bidi="ar"/>
        </w:rPr>
      </w:pPr>
      <w:r>
        <w:rPr>
          <w:rFonts w:hint="eastAsia" w:ascii="宋体" w:hAnsi="宋体"/>
          <w:color w:val="000000"/>
          <w:kern w:val="0"/>
          <w:sz w:val="21"/>
          <w:szCs w:val="21"/>
        </w:rPr>
        <w:t>本款补充</w:t>
      </w:r>
      <w:r>
        <w:rPr>
          <w:rFonts w:hint="eastAsia" w:ascii="宋体" w:hAnsi="宋体" w:eastAsia="宋体" w:cs="Times New Roman"/>
          <w:color w:val="000000"/>
          <w:kern w:val="0"/>
          <w:sz w:val="21"/>
          <w:szCs w:val="21"/>
        </w:rPr>
        <w:t>4.1.10第（</w:t>
      </w:r>
      <w:r>
        <w:rPr>
          <w:rFonts w:hint="eastAsia" w:ascii="宋体" w:hAnsi="宋体" w:eastAsia="宋体" w:cs="Times New Roman"/>
          <w:color w:val="000000"/>
          <w:kern w:val="0"/>
          <w:sz w:val="21"/>
          <w:szCs w:val="21"/>
          <w:lang w:val="en-US" w:eastAsia="zh-CN"/>
        </w:rPr>
        <w:t>5</w:t>
      </w:r>
      <w:r>
        <w:rPr>
          <w:rFonts w:hint="eastAsia" w:ascii="宋体" w:hAnsi="宋体" w:eastAsia="宋体" w:cs="Times New Roman"/>
          <w:color w:val="000000"/>
          <w:kern w:val="0"/>
          <w:sz w:val="21"/>
          <w:szCs w:val="21"/>
        </w:rPr>
        <w:t>）目为</w:t>
      </w:r>
      <w:r>
        <w:rPr>
          <w:color w:val="000000"/>
          <w:sz w:val="21"/>
          <w:szCs w:val="21"/>
        </w:rPr>
        <w:t>：</w:t>
      </w:r>
    </w:p>
    <w:p>
      <w:pPr>
        <w:keepNext w:val="0"/>
        <w:keepLines w:val="0"/>
        <w:widowControl w:val="0"/>
        <w:suppressLineNumbers w:val="0"/>
        <w:spacing w:before="0" w:beforeAutospacing="0" w:after="0" w:afterAutospacing="0" w:line="400" w:lineRule="exact"/>
        <w:ind w:right="0" w:firstLine="420" w:firstLineChars="200"/>
        <w:jc w:val="both"/>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bidi="ar"/>
        </w:rPr>
        <w:t>（5）材料、设备和操作工艺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bidi="ar"/>
        </w:rPr>
        <w:t>a.所有用于公路养护工程的材料和设备进场以前，承包人必须向发包人提交生产厂商出具的质量合格证书和承包人检验合格证书，证明材料、设备质量符合本合同技术规范的规定，以供发包人批准。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bidi="ar"/>
        </w:rPr>
        <w:t>b.承包人应随时按发包人的指令在制造、加工或养护施工现场对材料和设备进行检验。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bidi="ar"/>
        </w:rPr>
        <w:t>c.承包人应为发包人对材料或设备的检验提供一切必要的协助，在材料用于养护工程之前，承包人应按发包人的要求提供材料样品以供检验。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bCs/>
          <w:color w:val="000000"/>
          <w:kern w:val="2"/>
          <w:sz w:val="21"/>
          <w:szCs w:val="21"/>
          <w:highlight w:val="none"/>
        </w:rPr>
      </w:pPr>
      <w:r>
        <w:rPr>
          <w:rFonts w:hint="eastAsia" w:ascii="宋体" w:hAnsi="宋体" w:eastAsia="宋体" w:cs="宋体"/>
          <w:bCs/>
          <w:color w:val="000000"/>
          <w:kern w:val="2"/>
          <w:sz w:val="21"/>
          <w:szCs w:val="21"/>
          <w:highlight w:val="none"/>
          <w:lang w:val="en-US" w:eastAsia="zh-CN" w:bidi="ar"/>
        </w:rPr>
        <w:t>d.所有公路养护工程操作工艺均应符合《公路养护技术规范》（JTG 5110-2023）、《公路养护安全作业规程》（JTG H30-2015）等有关的规定。</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bookmarkStart w:id="2261" w:name="_Toc282787580"/>
      <w:bookmarkEnd w:id="2261"/>
      <w:r>
        <w:rPr>
          <w:rFonts w:hint="eastAsia" w:ascii="宋体" w:hAnsi="宋体" w:eastAsia="宋体" w:cs="宋体"/>
          <w:color w:val="000000"/>
          <w:kern w:val="2"/>
          <w:sz w:val="21"/>
          <w:szCs w:val="21"/>
          <w:highlight w:val="none"/>
          <w:lang w:val="en-US" w:eastAsia="zh-CN" w:bidi="ar"/>
        </w:rPr>
        <w:t>4.10  承包人现场查勘</w:t>
      </w:r>
    </w:p>
    <w:p>
      <w:pPr>
        <w:keepNext w:val="0"/>
        <w:keepLines w:val="0"/>
        <w:widowControl w:val="0"/>
        <w:suppressLineNumbers w:val="0"/>
        <w:spacing w:before="0" w:beforeAutospacing="0" w:after="0" w:afterAutospacing="0" w:line="400" w:lineRule="exact"/>
        <w:ind w:left="0" w:right="0" w:firstLine="48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本款补充第4.10.3项：</w:t>
      </w:r>
    </w:p>
    <w:p>
      <w:pPr>
        <w:keepNext w:val="0"/>
        <w:keepLines w:val="0"/>
        <w:widowControl w:val="0"/>
        <w:suppressLineNumbers w:val="0"/>
        <w:spacing w:before="0" w:beforeAutospacing="0" w:after="0" w:afterAutospacing="0" w:line="400" w:lineRule="exact"/>
        <w:ind w:left="0" w:right="0" w:firstLine="48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承包人应认真查勘施工现场，充分考虑到施工区域与相邻标段的相互影响和干扰，以及材料、设备等进入施工现场的公路和水路现状，并在投标报价中考虑上述因素而产生的所有费用，这些费用均由承包人承担。</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bookmarkStart w:id="2262" w:name="_Toc282787581"/>
      <w:bookmarkEnd w:id="2262"/>
      <w:r>
        <w:rPr>
          <w:rFonts w:hint="eastAsia" w:ascii="宋体" w:hAnsi="宋体" w:eastAsia="宋体" w:cs="宋体"/>
          <w:color w:val="000000"/>
          <w:kern w:val="2"/>
          <w:sz w:val="21"/>
          <w:szCs w:val="21"/>
          <w:highlight w:val="none"/>
          <w:lang w:val="en-US" w:eastAsia="zh-CN" w:bidi="ar"/>
        </w:rPr>
        <w:t>4.11  不利物质条件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u w:val="single"/>
        </w:rPr>
      </w:pPr>
      <w:r>
        <w:rPr>
          <w:rFonts w:hint="eastAsia" w:ascii="宋体" w:hAnsi="宋体" w:eastAsia="宋体" w:cs="宋体"/>
          <w:color w:val="000000"/>
          <w:kern w:val="2"/>
          <w:sz w:val="21"/>
          <w:szCs w:val="21"/>
          <w:highlight w:val="none"/>
          <w:lang w:val="en-US" w:eastAsia="zh-CN" w:bidi="ar"/>
        </w:rPr>
        <w:t>4.1.11  不利物质条件的范围：</w:t>
      </w:r>
      <w:r>
        <w:rPr>
          <w:rFonts w:hint="eastAsia" w:ascii="宋体" w:hAnsi="宋体" w:eastAsia="宋体" w:cs="宋体"/>
          <w:color w:val="000000"/>
          <w:kern w:val="2"/>
          <w:sz w:val="21"/>
          <w:szCs w:val="21"/>
          <w:highlight w:val="none"/>
          <w:u w:val="single"/>
          <w:lang w:val="en-US" w:eastAsia="zh-CN" w:bidi="ar"/>
        </w:rPr>
        <w:t xml:space="preserve"> /。</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highlight w:val="none"/>
        </w:rPr>
      </w:pPr>
      <w:bookmarkStart w:id="2263" w:name="_Toc14134"/>
      <w:bookmarkEnd w:id="2263"/>
      <w:bookmarkStart w:id="2264" w:name="_Toc30482"/>
      <w:bookmarkEnd w:id="2264"/>
      <w:bookmarkStart w:id="2265" w:name="_Toc27854"/>
      <w:bookmarkEnd w:id="2265"/>
      <w:bookmarkStart w:id="2266" w:name="_Toc32094"/>
      <w:bookmarkEnd w:id="2266"/>
      <w:bookmarkStart w:id="2267" w:name="_Toc514936631"/>
      <w:bookmarkEnd w:id="2267"/>
      <w:bookmarkStart w:id="2268" w:name="_Toc15119"/>
      <w:bookmarkEnd w:id="2268"/>
      <w:bookmarkStart w:id="2269" w:name="_Toc282787582"/>
      <w:bookmarkEnd w:id="2269"/>
      <w:bookmarkStart w:id="2270" w:name="_Toc21464"/>
      <w:bookmarkEnd w:id="2270"/>
      <w:bookmarkStart w:id="2271" w:name="_Toc6744"/>
      <w:bookmarkEnd w:id="2271"/>
      <w:bookmarkStart w:id="2272" w:name="_Toc9844"/>
      <w:bookmarkEnd w:id="2272"/>
      <w:bookmarkStart w:id="2273" w:name="_Toc288491652"/>
      <w:bookmarkEnd w:id="2273"/>
      <w:bookmarkStart w:id="2274" w:name="_Toc283794324"/>
      <w:bookmarkEnd w:id="2274"/>
      <w:bookmarkStart w:id="2275" w:name="_Toc118378101"/>
      <w:bookmarkEnd w:id="2275"/>
      <w:bookmarkStart w:id="2276" w:name="_Toc282779636"/>
      <w:bookmarkEnd w:id="2276"/>
      <w:bookmarkStart w:id="2277" w:name="_Toc12242"/>
      <w:bookmarkEnd w:id="2277"/>
      <w:bookmarkStart w:id="2278" w:name="_Toc28592"/>
      <w:bookmarkEnd w:id="2278"/>
      <w:bookmarkStart w:id="2279" w:name="_Toc282779127"/>
      <w:bookmarkEnd w:id="2279"/>
      <w:bookmarkStart w:id="2280" w:name="_Toc7473"/>
      <w:bookmarkEnd w:id="2280"/>
      <w:bookmarkStart w:id="2281" w:name="_Toc31172"/>
      <w:bookmarkEnd w:id="2281"/>
      <w:bookmarkStart w:id="2282" w:name="_Toc25540"/>
      <w:bookmarkEnd w:id="2282"/>
      <w:bookmarkStart w:id="2283" w:name="_Toc287853476"/>
      <w:r>
        <w:rPr>
          <w:rFonts w:hint="eastAsia" w:ascii="宋体" w:hAnsi="宋体" w:eastAsia="宋体" w:cs="宋体"/>
          <w:color w:val="000000"/>
          <w:kern w:val="2"/>
          <w:sz w:val="21"/>
          <w:szCs w:val="21"/>
          <w:highlight w:val="none"/>
          <w:lang w:val="en-US" w:eastAsia="zh-CN" w:bidi="ar"/>
        </w:rPr>
        <w:t>9．施工安全、治安保卫和环境保护</w:t>
      </w:r>
      <w:bookmarkEnd w:id="2283"/>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bookmarkStart w:id="2284" w:name="_Toc282779637"/>
      <w:bookmarkEnd w:id="2284"/>
      <w:bookmarkStart w:id="2285" w:name="_Toc282787583"/>
      <w:bookmarkEnd w:id="2285"/>
      <w:bookmarkStart w:id="2286" w:name="_Toc288491653"/>
      <w:bookmarkEnd w:id="2286"/>
      <w:bookmarkStart w:id="2287" w:name="_Toc287853477"/>
      <w:bookmarkEnd w:id="2287"/>
      <w:bookmarkStart w:id="2288" w:name="_Toc283794325"/>
      <w:bookmarkEnd w:id="2288"/>
      <w:bookmarkStart w:id="2289" w:name="_Toc282779128"/>
      <w:r>
        <w:rPr>
          <w:rFonts w:hint="eastAsia" w:ascii="宋体" w:hAnsi="宋体" w:eastAsia="宋体" w:cs="宋体"/>
          <w:color w:val="000000"/>
          <w:kern w:val="2"/>
          <w:sz w:val="21"/>
          <w:szCs w:val="21"/>
          <w:highlight w:val="none"/>
          <w:lang w:val="en-US" w:eastAsia="zh-CN" w:bidi="ar"/>
        </w:rPr>
        <w:t>9.2  承包人的施工安全责任</w:t>
      </w:r>
      <w:bookmarkEnd w:id="2289"/>
    </w:p>
    <w:p>
      <w:pPr>
        <w:keepNext w:val="0"/>
        <w:keepLines w:val="0"/>
        <w:widowControl/>
        <w:suppressLineNumbers w:val="0"/>
        <w:snapToGrid w:val="0"/>
        <w:spacing w:before="0" w:beforeAutospacing="0" w:after="0" w:afterAutospacing="0" w:line="400" w:lineRule="exact"/>
        <w:ind w:left="0" w:right="0" w:firstLine="420" w:firstLineChars="20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本款第9.2.1项补充：</w:t>
      </w:r>
    </w:p>
    <w:p>
      <w:pPr>
        <w:keepNext w:val="0"/>
        <w:keepLines w:val="0"/>
        <w:widowControl/>
        <w:suppressLineNumbers w:val="0"/>
        <w:snapToGrid w:val="0"/>
        <w:spacing w:before="0" w:beforeAutospacing="0" w:after="0" w:afterAutospacing="0" w:line="400" w:lineRule="exact"/>
        <w:ind w:left="0" w:right="0" w:firstLine="420" w:firstLineChars="20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监理人发现承包人在施工现场存在安全隐患或未落实安全生产费用的，应当提出要求其改正，施工单位拒不改正的，监理人可暂时停止工程款的计量支付，并及时向发包人报告。</w:t>
      </w:r>
    </w:p>
    <w:p>
      <w:pPr>
        <w:keepNext w:val="0"/>
        <w:keepLines w:val="0"/>
        <w:widowControl w:val="0"/>
        <w:suppressLineNumbers w:val="0"/>
        <w:snapToGrid w:val="0"/>
        <w:spacing w:before="0" w:beforeAutospacing="0" w:after="0" w:afterAutospacing="0" w:line="400" w:lineRule="exact"/>
        <w:ind w:left="0" w:right="0" w:firstLine="420" w:firstLineChars="200"/>
        <w:jc w:val="left"/>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第9.2.5项约定为：</w:t>
      </w:r>
    </w:p>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bookmarkStart w:id="2290" w:name="_Toc288491654"/>
      <w:bookmarkEnd w:id="2290"/>
      <w:bookmarkStart w:id="2291" w:name="_Toc282779129"/>
      <w:bookmarkEnd w:id="2291"/>
      <w:bookmarkStart w:id="2292" w:name="_Toc287853478"/>
      <w:bookmarkEnd w:id="2292"/>
      <w:bookmarkStart w:id="2293" w:name="_Toc283794326"/>
      <w:bookmarkEnd w:id="2293"/>
      <w:bookmarkStart w:id="2294" w:name="_Toc282787584"/>
      <w:bookmarkEnd w:id="2294"/>
      <w:bookmarkStart w:id="2295" w:name="_Toc282779638"/>
      <w:r>
        <w:rPr>
          <w:rFonts w:hint="eastAsia" w:ascii="宋体" w:hAnsi="宋体" w:eastAsia="宋体" w:cs="宋体"/>
          <w:color w:val="000000"/>
          <w:kern w:val="0"/>
          <w:sz w:val="21"/>
          <w:szCs w:val="21"/>
          <w:highlight w:val="none"/>
          <w:lang w:val="en-US" w:eastAsia="zh-CN" w:bidi="ar"/>
        </w:rPr>
        <w:t>安全生产费用不</w:t>
      </w:r>
      <w:bookmarkEnd w:id="2295"/>
      <w:r>
        <w:rPr>
          <w:rFonts w:hint="eastAsia" w:ascii="宋体" w:hAnsi="宋体" w:eastAsia="宋体" w:cs="宋体"/>
          <w:color w:val="000000"/>
          <w:kern w:val="0"/>
          <w:sz w:val="21"/>
          <w:szCs w:val="21"/>
          <w:highlight w:val="none"/>
          <w:lang w:val="en-US" w:eastAsia="zh-CN" w:bidi="ar"/>
        </w:rPr>
        <w:t>低于工程量清单合计金额（不含安全生产费、建筑工程一切险的保险费）的2%。安全生产费用应用于施工安全防护用具及设施的采购和更新、安全施工措施的落实、安全生产条件的改善，不得挪作他用。承包人还应执行《浙江省交通建设工程质量和安全生产管理条例》（浙江省第十三届人民代表大会常务委员会公告第 4 号）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2021】12号《省交通运输厅关于印发&lt;浙江省交通建设工程安全生产费用管理办法&gt;的通知》的相关规定办理。</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296" w:name="_Toc3857"/>
      <w:bookmarkEnd w:id="2296"/>
      <w:bookmarkStart w:id="2297" w:name="_Toc26161"/>
      <w:bookmarkEnd w:id="2297"/>
      <w:bookmarkStart w:id="2298" w:name="_Toc30588"/>
      <w:bookmarkEnd w:id="2298"/>
      <w:bookmarkStart w:id="2299" w:name="_Toc32397"/>
      <w:bookmarkEnd w:id="2299"/>
      <w:bookmarkStart w:id="2300" w:name="_Toc9579"/>
      <w:bookmarkEnd w:id="2300"/>
      <w:bookmarkStart w:id="2301" w:name="_Toc3438"/>
      <w:bookmarkEnd w:id="2301"/>
      <w:bookmarkStart w:id="2302" w:name="_Toc25755"/>
      <w:bookmarkEnd w:id="2302"/>
      <w:bookmarkStart w:id="2303" w:name="_Toc195"/>
      <w:bookmarkEnd w:id="2303"/>
      <w:bookmarkStart w:id="2304" w:name="_Toc2484"/>
      <w:bookmarkEnd w:id="2304"/>
      <w:bookmarkStart w:id="2305" w:name="_Toc8403"/>
      <w:bookmarkEnd w:id="2305"/>
      <w:bookmarkStart w:id="2306" w:name="_Toc514936632"/>
      <w:bookmarkEnd w:id="2306"/>
      <w:bookmarkStart w:id="2307" w:name="_Toc118378102"/>
      <w:bookmarkEnd w:id="2307"/>
      <w:bookmarkStart w:id="2308" w:name="_Toc11217"/>
      <w:bookmarkEnd w:id="2308"/>
      <w:bookmarkStart w:id="2309" w:name="_Toc1682"/>
      <w:bookmarkEnd w:id="2309"/>
      <w:bookmarkStart w:id="2310" w:name="_Toc8487"/>
      <w:r>
        <w:rPr>
          <w:rFonts w:hint="eastAsia" w:ascii="宋体" w:hAnsi="宋体" w:eastAsia="宋体" w:cs="宋体"/>
          <w:color w:val="000000"/>
          <w:kern w:val="2"/>
          <w:sz w:val="21"/>
          <w:szCs w:val="21"/>
          <w:lang w:val="en-US" w:eastAsia="zh-CN" w:bidi="ar"/>
        </w:rPr>
        <w:t>10．进度计划</w:t>
      </w:r>
      <w:bookmarkEnd w:id="2310"/>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311" w:name="_Toc282787585"/>
      <w:bookmarkEnd w:id="2311"/>
      <w:r>
        <w:rPr>
          <w:rFonts w:hint="eastAsia" w:ascii="宋体" w:hAnsi="宋体" w:eastAsia="宋体" w:cs="宋体"/>
          <w:color w:val="000000"/>
          <w:kern w:val="2"/>
          <w:sz w:val="21"/>
          <w:szCs w:val="21"/>
          <w:lang w:val="en-US" w:eastAsia="zh-CN" w:bidi="ar"/>
        </w:rPr>
        <w:t>10.1  合同进度计划</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本款补充：</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bookmarkStart w:id="2312" w:name="_Toc14355"/>
      <w:r>
        <w:rPr>
          <w:rFonts w:hint="eastAsia" w:ascii="宋体" w:hAnsi="宋体" w:eastAsia="宋体" w:cs="宋体"/>
          <w:color w:val="auto"/>
          <w:kern w:val="2"/>
          <w:sz w:val="21"/>
          <w:szCs w:val="21"/>
          <w:lang w:val="en-US" w:eastAsia="zh-CN" w:bidi="ar"/>
        </w:rPr>
        <w:t>承包人编制养护工程作业方案的内容：</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（1）养护工程的施工组织、现场布置；</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（2）养护工程计划；</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（3）劳动力、机械设备、材料的供应及资金流量计划；</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（4）大中修养护工程的技术措施和保施工道路畅通方案；</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a．施工现场临时用电方案；</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b．对危险性较大的养护作业应当编制专项施工方案：</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（5）质量、安全保证体系；</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（6）环境保护措施；</w:t>
      </w:r>
    </w:p>
    <w:p>
      <w:pPr>
        <w:keepNext w:val="0"/>
        <w:keepLines w:val="0"/>
        <w:widowControl w:val="0"/>
        <w:suppressLineNumbers w:val="0"/>
        <w:autoSpaceDE w:val="0"/>
        <w:autoSpaceDN/>
        <w:spacing w:before="0" w:beforeAutospacing="0" w:after="0" w:afterAutospacing="0" w:line="400" w:lineRule="exact"/>
        <w:ind w:left="0" w:right="0" w:firstLine="420" w:firstLineChars="200"/>
        <w:jc w:val="both"/>
        <w:rPr>
          <w:rFonts w:hint="eastAsia" w:ascii="宋体" w:hAnsi="宋体" w:eastAsia="宋体" w:cs="Times New Roman"/>
          <w:color w:val="auto"/>
          <w:kern w:val="2"/>
          <w:sz w:val="21"/>
          <w:szCs w:val="21"/>
        </w:rPr>
      </w:pPr>
      <w:r>
        <w:rPr>
          <w:rFonts w:hint="eastAsia" w:ascii="宋体" w:hAnsi="宋体" w:eastAsia="宋体" w:cs="宋体"/>
          <w:color w:val="auto"/>
          <w:kern w:val="2"/>
          <w:sz w:val="21"/>
          <w:szCs w:val="21"/>
          <w:lang w:val="en-US" w:eastAsia="zh-CN" w:bidi="ar"/>
        </w:rPr>
        <w:t>（7）其它应说明的事项。</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11．开工和交工</w:t>
      </w:r>
      <w:bookmarkEnd w:id="2312"/>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313" w:name="_Toc282787587"/>
      <w:bookmarkEnd w:id="2313"/>
      <w:r>
        <w:rPr>
          <w:rFonts w:hint="eastAsia" w:ascii="宋体" w:hAnsi="宋体" w:eastAsia="宋体" w:cs="宋体"/>
          <w:color w:val="000000"/>
          <w:kern w:val="2"/>
          <w:sz w:val="21"/>
          <w:szCs w:val="21"/>
          <w:lang w:val="en-US" w:eastAsia="zh-CN" w:bidi="ar"/>
        </w:rPr>
        <w:t>11.4  异常恶劣的气候条件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本款补充异常恶劣的气候条件为：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（1）持续高温：连续三日日最高气温38℃以上；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（2）持续低温：连续三日日最高气温-20℃以下；</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（3）暴雨天气：日降雨量50mm，雨日超过1天及以上，或降雨强度大于20mm/h；</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（4）大风天气：日风力在6级以上且持续时间不少于4小时，或阵风大于8级以上台风灾害；</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（5）造成工程损坏的冰雹和大雪灾害：日降雪量10mm及以上；</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（6）水淹：施工场地大部或全部被潮水、洪水或雨水淹没超过1天；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（7）其他异常恶劣气候灾害。</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异常恶劣的气候数据以养护工程所在地气象部门资料为准。</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314" w:name="_Toc2783"/>
      <w:bookmarkEnd w:id="2314"/>
      <w:bookmarkStart w:id="2315" w:name="_Toc118378104"/>
      <w:bookmarkEnd w:id="2315"/>
      <w:bookmarkStart w:id="2316" w:name="_Toc21186"/>
      <w:bookmarkEnd w:id="2316"/>
      <w:bookmarkStart w:id="2317" w:name="_Toc282787588"/>
      <w:bookmarkEnd w:id="2317"/>
      <w:bookmarkStart w:id="2318" w:name="_Toc282779131"/>
      <w:bookmarkEnd w:id="2318"/>
      <w:bookmarkStart w:id="2319" w:name="_Toc15171"/>
      <w:bookmarkEnd w:id="2319"/>
      <w:bookmarkStart w:id="2320" w:name="_Toc13754"/>
      <w:bookmarkEnd w:id="2320"/>
      <w:bookmarkStart w:id="2321" w:name="_Toc28471"/>
      <w:bookmarkEnd w:id="2321"/>
      <w:bookmarkStart w:id="2322" w:name="_Toc514936634"/>
      <w:bookmarkEnd w:id="2322"/>
      <w:bookmarkStart w:id="2323" w:name="_Toc8969"/>
      <w:bookmarkEnd w:id="2323"/>
      <w:bookmarkStart w:id="2324" w:name="_Toc4735"/>
      <w:bookmarkEnd w:id="2324"/>
      <w:bookmarkStart w:id="2325" w:name="_Toc1258"/>
      <w:bookmarkEnd w:id="2325"/>
      <w:bookmarkStart w:id="2326" w:name="_Toc9507"/>
      <w:bookmarkEnd w:id="2326"/>
      <w:bookmarkStart w:id="2327" w:name="_Toc17375"/>
      <w:bookmarkEnd w:id="2327"/>
      <w:bookmarkStart w:id="2328" w:name="_Toc283794328"/>
      <w:bookmarkEnd w:id="2328"/>
      <w:bookmarkStart w:id="2329" w:name="_Toc282779640"/>
      <w:bookmarkEnd w:id="2329"/>
      <w:bookmarkStart w:id="2330" w:name="_Toc288491656"/>
      <w:bookmarkEnd w:id="2330"/>
      <w:bookmarkStart w:id="2331" w:name="_Toc287853480"/>
      <w:bookmarkEnd w:id="2331"/>
      <w:bookmarkStart w:id="2332" w:name="_Toc29871"/>
      <w:bookmarkEnd w:id="2332"/>
      <w:bookmarkStart w:id="2333" w:name="_Toc16658"/>
      <w:bookmarkEnd w:id="2333"/>
      <w:bookmarkStart w:id="2334" w:name="_Toc26565"/>
      <w:r>
        <w:rPr>
          <w:rFonts w:hint="eastAsia" w:ascii="宋体" w:hAnsi="宋体" w:eastAsia="宋体" w:cs="宋体"/>
          <w:color w:val="000000"/>
          <w:kern w:val="2"/>
          <w:sz w:val="21"/>
          <w:szCs w:val="21"/>
          <w:lang w:val="en-US" w:eastAsia="zh-CN" w:bidi="ar"/>
        </w:rPr>
        <w:t>12. 暂停施工</w:t>
      </w:r>
      <w:bookmarkEnd w:id="233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335" w:name="_Toc282787589"/>
      <w:bookmarkEnd w:id="2335"/>
      <w:bookmarkStart w:id="2336" w:name="_Toc238550384"/>
      <w:r>
        <w:rPr>
          <w:rFonts w:hint="eastAsia" w:ascii="宋体" w:hAnsi="宋体" w:eastAsia="宋体" w:cs="宋体"/>
          <w:color w:val="000000"/>
          <w:kern w:val="2"/>
          <w:sz w:val="21"/>
          <w:szCs w:val="21"/>
          <w:lang w:val="en-US" w:eastAsia="zh-CN" w:bidi="ar"/>
        </w:rPr>
        <w:t>12.</w:t>
      </w:r>
      <w:bookmarkEnd w:id="2336"/>
      <w:r>
        <w:rPr>
          <w:rFonts w:hint="eastAsia" w:ascii="宋体" w:hAnsi="宋体" w:eastAsia="宋体" w:cs="宋体"/>
          <w:color w:val="000000"/>
          <w:kern w:val="2"/>
          <w:sz w:val="21"/>
          <w:szCs w:val="21"/>
          <w:lang w:val="en-US" w:eastAsia="zh-CN" w:bidi="ar"/>
        </w:rPr>
        <w:t>1  承包人暂停施工的责任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本款第12.1（6）项约定为：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（6）由承包人承担的其他暂停施工：</w:t>
      </w:r>
      <w:r>
        <w:rPr>
          <w:rFonts w:hint="eastAsia" w:ascii="宋体" w:hAnsi="宋体" w:eastAsia="宋体" w:cs="宋体"/>
          <w:color w:val="000000"/>
          <w:kern w:val="2"/>
          <w:sz w:val="21"/>
          <w:szCs w:val="21"/>
          <w:u w:val="single"/>
          <w:lang w:val="en-US" w:eastAsia="zh-CN" w:bidi="ar"/>
        </w:rPr>
        <w:t xml:space="preserve">  /   </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lang w:val="en-US" w:eastAsia="zh-CN" w:bidi="ar"/>
        </w:rPr>
      </w:pPr>
      <w:bookmarkStart w:id="2337" w:name="_Toc514936635"/>
      <w:bookmarkEnd w:id="2337"/>
      <w:bookmarkStart w:id="2338" w:name="_Toc2891"/>
      <w:bookmarkEnd w:id="2338"/>
      <w:bookmarkStart w:id="2339" w:name="_Toc7110"/>
      <w:bookmarkEnd w:id="2339"/>
      <w:bookmarkStart w:id="2340" w:name="_Toc19913"/>
      <w:bookmarkEnd w:id="2340"/>
      <w:bookmarkStart w:id="2341" w:name="_Toc11373"/>
      <w:bookmarkEnd w:id="2341"/>
      <w:bookmarkStart w:id="2342" w:name="_Toc8624"/>
      <w:bookmarkEnd w:id="2342"/>
      <w:bookmarkStart w:id="2343" w:name="_Toc1527"/>
      <w:bookmarkEnd w:id="2343"/>
      <w:bookmarkStart w:id="2344" w:name="_Toc282779641"/>
      <w:bookmarkEnd w:id="2344"/>
      <w:bookmarkStart w:id="2345" w:name="_Toc2837"/>
      <w:bookmarkEnd w:id="2345"/>
      <w:bookmarkStart w:id="2346" w:name="_Toc28927"/>
      <w:bookmarkEnd w:id="2346"/>
      <w:bookmarkStart w:id="2347" w:name="_Toc240883731"/>
      <w:bookmarkEnd w:id="2347"/>
      <w:bookmarkStart w:id="2348" w:name="_Toc32682"/>
      <w:bookmarkEnd w:id="2348"/>
      <w:bookmarkStart w:id="2349" w:name="_Toc282787591"/>
      <w:bookmarkEnd w:id="2349"/>
      <w:bookmarkStart w:id="2350" w:name="_Toc288491657"/>
      <w:bookmarkEnd w:id="2350"/>
      <w:bookmarkStart w:id="2351" w:name="_Toc2017"/>
      <w:bookmarkEnd w:id="2351"/>
      <w:bookmarkStart w:id="2352" w:name="_Toc15729"/>
      <w:bookmarkEnd w:id="2352"/>
      <w:bookmarkStart w:id="2353" w:name="_Toc18212"/>
      <w:bookmarkEnd w:id="2353"/>
      <w:bookmarkStart w:id="2354" w:name="_Toc282779132"/>
      <w:bookmarkEnd w:id="2354"/>
      <w:bookmarkStart w:id="2355" w:name="_Toc118378105"/>
      <w:bookmarkEnd w:id="2355"/>
      <w:bookmarkStart w:id="2356" w:name="_Toc282787590"/>
      <w:bookmarkEnd w:id="2356"/>
      <w:bookmarkStart w:id="2357" w:name="_Toc287853481"/>
      <w:bookmarkEnd w:id="2357"/>
      <w:bookmarkStart w:id="2358" w:name="_Toc16435"/>
      <w:bookmarkEnd w:id="2358"/>
      <w:bookmarkStart w:id="2359" w:name="_Toc240724136"/>
      <w:bookmarkEnd w:id="2359"/>
      <w:bookmarkStart w:id="2360" w:name="_Toc283794329"/>
      <w:r>
        <w:rPr>
          <w:rFonts w:hint="eastAsia" w:ascii="宋体" w:hAnsi="宋体" w:eastAsia="宋体" w:cs="宋体"/>
          <w:color w:val="000000"/>
          <w:kern w:val="2"/>
          <w:sz w:val="21"/>
          <w:szCs w:val="21"/>
          <w:lang w:val="en-US" w:eastAsia="zh-CN" w:bidi="ar"/>
        </w:rPr>
        <w:t>12.2  发包人暂停施工的责任</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本款原内容后补充：</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发包人如连续2个月发生已计量应支付而未支付工程款的，承包人可停工（但不得拖欠农民工工资）。造成的损失由发包人承担。</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  工程质量</w:t>
      </w:r>
      <w:bookmarkEnd w:id="2360"/>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361" w:name="_Toc283794330"/>
      <w:bookmarkEnd w:id="2361"/>
      <w:bookmarkStart w:id="2362" w:name="_Toc240883733"/>
      <w:bookmarkEnd w:id="2362"/>
      <w:bookmarkStart w:id="2363" w:name="_Toc287853482"/>
      <w:bookmarkEnd w:id="2363"/>
      <w:bookmarkStart w:id="2364" w:name="_Toc240724138"/>
      <w:bookmarkEnd w:id="2364"/>
      <w:bookmarkStart w:id="2365" w:name="_Toc282787592"/>
      <w:bookmarkEnd w:id="2365"/>
      <w:bookmarkStart w:id="2366" w:name="_Toc282779133"/>
      <w:bookmarkEnd w:id="2366"/>
      <w:bookmarkStart w:id="2367" w:name="_Toc332566067"/>
      <w:bookmarkEnd w:id="2367"/>
      <w:bookmarkStart w:id="2368" w:name="_Toc282779642"/>
      <w:bookmarkEnd w:id="2368"/>
      <w:bookmarkStart w:id="2369" w:name="_Toc299345062"/>
      <w:bookmarkEnd w:id="2369"/>
      <w:bookmarkStart w:id="2370" w:name="_Toc288491658"/>
      <w:r>
        <w:rPr>
          <w:rFonts w:hint="eastAsia" w:ascii="宋体" w:hAnsi="宋体" w:eastAsia="宋体" w:cs="宋体"/>
          <w:color w:val="000000"/>
          <w:kern w:val="2"/>
          <w:sz w:val="21"/>
          <w:szCs w:val="21"/>
          <w:lang w:val="en-US" w:eastAsia="zh-CN" w:bidi="ar"/>
        </w:rPr>
        <w:t>13.1工程质量要求</w:t>
      </w:r>
      <w:bookmarkEnd w:id="237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本款第13.1.1项细化为：</w:t>
      </w:r>
    </w:p>
    <w:p>
      <w:pPr>
        <w:keepNext w:val="0"/>
        <w:keepLines w:val="0"/>
        <w:widowControl w:val="0"/>
        <w:suppressLineNumbers w:val="0"/>
        <w:spacing w:before="0" w:beforeAutospacing="0" w:after="0" w:afterAutospacing="0" w:line="400" w:lineRule="exact"/>
        <w:ind w:left="0" w:right="0" w:firstLine="420" w:firstLineChars="200"/>
        <w:jc w:val="both"/>
        <w:rPr>
          <w:rFonts w:ascii="Times New Roman" w:hAnsi="Times New Roman" w:eastAsia="宋体"/>
          <w:sz w:val="21"/>
          <w:szCs w:val="20"/>
        </w:rPr>
      </w:pPr>
      <w:r>
        <w:rPr>
          <w:rFonts w:hint="eastAsia" w:ascii="宋体" w:hAnsi="宋体"/>
          <w:color w:val="000000"/>
          <w:sz w:val="21"/>
          <w:szCs w:val="21"/>
          <w:highlight w:val="none"/>
        </w:rPr>
        <w:t>工程质量验收按相</w:t>
      </w:r>
      <w:r>
        <w:rPr>
          <w:rFonts w:hint="eastAsia" w:ascii="宋体" w:hAnsi="宋体" w:eastAsia="宋体" w:cs="Times New Roman"/>
          <w:color w:val="000000"/>
          <w:sz w:val="21"/>
          <w:szCs w:val="21"/>
          <w:highlight w:val="none"/>
        </w:rPr>
        <w:t>关技术规范执行。</w:t>
      </w:r>
      <w:r>
        <w:rPr>
          <w:rFonts w:ascii="Times New Roman" w:hAnsi="Times New Roman" w:eastAsia="宋体"/>
          <w:sz w:val="21"/>
          <w:szCs w:val="20"/>
        </w:rPr>
        <w:t>本工程的质量目标：标段工程交工验收工程质量评定：</w:t>
      </w:r>
      <w:r>
        <w:rPr>
          <w:rFonts w:hint="eastAsia" w:ascii="Times New Roman" w:hAnsi="Times New Roman" w:eastAsia="宋体"/>
          <w:sz w:val="21"/>
          <w:szCs w:val="20"/>
          <w:u w:val="single"/>
        </w:rPr>
        <w:t>合格</w:t>
      </w:r>
      <w:r>
        <w:rPr>
          <w:rFonts w:ascii="Times New Roman" w:hAnsi="Times New Roman" w:eastAsia="宋体"/>
          <w:sz w:val="21"/>
          <w:szCs w:val="20"/>
        </w:rPr>
        <w:t>；标段工程竣工验收工程质量评定：</w:t>
      </w:r>
      <w:r>
        <w:rPr>
          <w:rFonts w:hint="eastAsia" w:ascii="Times New Roman" w:hAnsi="Times New Roman" w:eastAsia="宋体"/>
          <w:sz w:val="21"/>
          <w:szCs w:val="20"/>
          <w:u w:val="single"/>
        </w:rPr>
        <w:t>合格</w:t>
      </w:r>
      <w:r>
        <w:rPr>
          <w:rFonts w:ascii="Times New Roman" w:hAnsi="Times New Roman" w:eastAsia="宋体"/>
          <w:sz w:val="21"/>
          <w:szCs w:val="20"/>
        </w:rPr>
        <w:t>。</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为本合同的施工建立强有力的质保系统和质检系统，认真执行国家和交通运输部有关加强质量管理的法规与文件，开展全面质量管理，确保工程质量达到目标要求。若由于承包人不重视质量管理，因日常小修保养未到位引发事故而产生的经济赔偿等一切责任由中标单位承担，中标单位必须购买公共责任保险。工程验收未能达到目标要求则按项目专用条款22.1规定进行违约处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13.7  质量抽检</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bookmarkStart w:id="2371" w:name="_Toc240883734"/>
      <w:bookmarkEnd w:id="2371"/>
      <w:bookmarkStart w:id="2372" w:name="_Toc240724139"/>
      <w:bookmarkEnd w:id="2372"/>
      <w:bookmarkStart w:id="2373" w:name="_Toc238550388"/>
      <w:r>
        <w:rPr>
          <w:rFonts w:hint="eastAsia" w:ascii="宋体" w:hAnsi="宋体" w:eastAsia="宋体" w:cs="宋体"/>
          <w:color w:val="000000"/>
          <w:kern w:val="2"/>
          <w:sz w:val="21"/>
          <w:szCs w:val="21"/>
          <w:highlight w:val="none"/>
          <w:lang w:val="en-US" w:eastAsia="zh-CN" w:bidi="ar"/>
        </w:rPr>
        <w:t>第13.7款补充：</w:t>
      </w:r>
      <w:bookmarkEnd w:id="2373"/>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省、市交通工程质量监督机构和发包人有权对承包人施工质量随时进行抽检，并通过监理人对工程质量实施否决，承包人应积极配合并免费提供试验用的试件。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bookmarkStart w:id="2374" w:name="_Toc498542982"/>
      <w:bookmarkEnd w:id="2374"/>
      <w:bookmarkStart w:id="2375" w:name="_Toc282779134"/>
      <w:bookmarkEnd w:id="2375"/>
      <w:bookmarkStart w:id="2376" w:name="_Toc27432"/>
      <w:bookmarkEnd w:id="2376"/>
      <w:bookmarkStart w:id="2377" w:name="_Toc262031859"/>
      <w:bookmarkEnd w:id="2377"/>
      <w:bookmarkStart w:id="2378" w:name="_Toc12227"/>
      <w:bookmarkEnd w:id="2378"/>
      <w:bookmarkStart w:id="2379" w:name="_Toc282787593"/>
      <w:bookmarkEnd w:id="2379"/>
      <w:bookmarkStart w:id="2380" w:name="_Toc245538808"/>
      <w:bookmarkEnd w:id="2380"/>
      <w:bookmarkStart w:id="2381" w:name="_Toc234382896"/>
      <w:bookmarkEnd w:id="2381"/>
      <w:bookmarkStart w:id="2382" w:name="_Toc262895918"/>
      <w:bookmarkEnd w:id="2382"/>
      <w:bookmarkStart w:id="2383" w:name="_Toc3224"/>
      <w:bookmarkEnd w:id="2383"/>
      <w:bookmarkStart w:id="2384" w:name="_Toc66726501"/>
      <w:bookmarkEnd w:id="2384"/>
      <w:bookmarkStart w:id="2385" w:name="_Toc514936636"/>
      <w:bookmarkEnd w:id="2385"/>
      <w:bookmarkStart w:id="2386" w:name="_Toc468702671"/>
      <w:bookmarkEnd w:id="2386"/>
      <w:bookmarkStart w:id="2387" w:name="_Toc282779643"/>
      <w:bookmarkEnd w:id="2387"/>
      <w:bookmarkStart w:id="2388" w:name="_Toc24872"/>
      <w:bookmarkEnd w:id="2388"/>
      <w:bookmarkStart w:id="2389" w:name="_Toc16189"/>
      <w:bookmarkEnd w:id="2389"/>
      <w:bookmarkStart w:id="2390" w:name="_Toc263889246"/>
      <w:bookmarkEnd w:id="2390"/>
      <w:bookmarkStart w:id="2391" w:name="_Toc28148"/>
      <w:bookmarkEnd w:id="2391"/>
      <w:bookmarkStart w:id="2392" w:name="_Toc288491659"/>
      <w:bookmarkEnd w:id="2392"/>
      <w:bookmarkStart w:id="2393" w:name="_Toc8731"/>
      <w:bookmarkEnd w:id="2393"/>
      <w:bookmarkStart w:id="2394" w:name="_Toc2862"/>
      <w:bookmarkEnd w:id="2394"/>
      <w:bookmarkStart w:id="2395" w:name="_Toc31994"/>
      <w:bookmarkEnd w:id="2395"/>
      <w:bookmarkStart w:id="2396" w:name="_Toc2652"/>
      <w:bookmarkEnd w:id="2396"/>
      <w:bookmarkStart w:id="2397" w:name="_Toc32353"/>
      <w:bookmarkEnd w:id="2397"/>
      <w:bookmarkStart w:id="2398" w:name="_Toc283794331"/>
      <w:bookmarkEnd w:id="2398"/>
      <w:bookmarkStart w:id="2399" w:name="_Toc441002371"/>
      <w:bookmarkEnd w:id="2399"/>
      <w:bookmarkStart w:id="2400" w:name="_Toc421630693"/>
      <w:bookmarkEnd w:id="2400"/>
      <w:bookmarkStart w:id="2401" w:name="_Toc287853483"/>
      <w:r>
        <w:rPr>
          <w:rFonts w:hint="eastAsia" w:ascii="宋体" w:hAnsi="宋体" w:eastAsia="宋体" w:cs="宋体"/>
          <w:color w:val="000000"/>
          <w:kern w:val="2"/>
          <w:sz w:val="21"/>
          <w:szCs w:val="21"/>
          <w:lang w:val="en-US" w:eastAsia="zh-CN" w:bidi="ar"/>
        </w:rPr>
        <w:t>15.变更</w:t>
      </w:r>
      <w:bookmarkEnd w:id="2401"/>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bookmarkStart w:id="2402" w:name="_Toc262031861"/>
      <w:bookmarkEnd w:id="2402"/>
      <w:bookmarkStart w:id="2403" w:name="_Toc262031860"/>
      <w:bookmarkEnd w:id="2403"/>
      <w:bookmarkStart w:id="2404" w:name="_Toc263889247"/>
      <w:bookmarkEnd w:id="2404"/>
      <w:bookmarkStart w:id="2405" w:name="_Toc263889248"/>
      <w:bookmarkEnd w:id="2405"/>
      <w:bookmarkStart w:id="2406" w:name="_Toc421630695"/>
      <w:bookmarkEnd w:id="2406"/>
      <w:bookmarkStart w:id="2407" w:name="_Toc245538809"/>
      <w:bookmarkEnd w:id="2407"/>
      <w:bookmarkStart w:id="2408" w:name="_Toc468702673"/>
      <w:bookmarkEnd w:id="2408"/>
      <w:bookmarkStart w:id="2409" w:name="_Toc66726502"/>
      <w:bookmarkEnd w:id="2409"/>
      <w:bookmarkStart w:id="2410" w:name="_Toc468702672"/>
      <w:bookmarkEnd w:id="2410"/>
      <w:bookmarkStart w:id="2411" w:name="_Toc234382897"/>
      <w:bookmarkEnd w:id="2411"/>
      <w:bookmarkStart w:id="2412" w:name="_Toc234382898"/>
      <w:bookmarkEnd w:id="2412"/>
      <w:bookmarkStart w:id="2413" w:name="_Toc262895920"/>
      <w:bookmarkEnd w:id="2413"/>
      <w:bookmarkStart w:id="2414" w:name="_Toc498542984"/>
      <w:bookmarkEnd w:id="2414"/>
      <w:bookmarkStart w:id="2415" w:name="_Toc245538810"/>
      <w:bookmarkEnd w:id="2415"/>
      <w:bookmarkStart w:id="2416" w:name="_Toc498542983"/>
      <w:bookmarkEnd w:id="2416"/>
      <w:bookmarkStart w:id="2417" w:name="_Toc262895919"/>
      <w:bookmarkEnd w:id="2417"/>
      <w:bookmarkStart w:id="2418" w:name="_Toc66726503"/>
      <w:bookmarkEnd w:id="2418"/>
      <w:bookmarkStart w:id="2419" w:name="_Toc441002372"/>
      <w:bookmarkEnd w:id="2419"/>
      <w:bookmarkStart w:id="2420" w:name="_Toc441002373"/>
      <w:r>
        <w:rPr>
          <w:rFonts w:hint="eastAsia" w:ascii="宋体" w:hAnsi="宋体" w:eastAsia="宋体" w:cs="宋体"/>
          <w:color w:val="000000"/>
          <w:kern w:val="2"/>
          <w:sz w:val="21"/>
          <w:szCs w:val="21"/>
          <w:lang w:val="en-US" w:eastAsia="zh-CN" w:bidi="ar"/>
        </w:rPr>
        <w:t>15.3变更程序</w:t>
      </w:r>
      <w:bookmarkEnd w:id="242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公路工程专用合同条款第15.3.4项细化为：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本项目所有工程内容的设计变更程序、方法均执行交通运输部《公路工程设计变更管理办法》（交通运输部令2005年第5号）、浙江省交通运输厅关于印发《浙江省普通国省道干线公路工程设计变更管理实施细则》的通知（浙交[2017]34号）及地方政府的相关规定和要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公路工程专用合同条款补充第15.3.5项：</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15.3.5 </w:t>
      </w:r>
      <w:r>
        <w:rPr>
          <w:rFonts w:hint="eastAsia" w:ascii="宋体" w:hAnsi="宋体" w:eastAsia="宋体" w:cs="宋体"/>
          <w:b/>
          <w:bCs/>
          <w:color w:val="000000"/>
          <w:kern w:val="2"/>
          <w:sz w:val="21"/>
          <w:szCs w:val="21"/>
          <w:lang w:val="en-US" w:eastAsia="zh-CN" w:bidi="ar"/>
        </w:rPr>
        <w:t xml:space="preserve"> 第15.3款发出的变更指示必须经发包人同意。</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bookmarkStart w:id="2421" w:name="_Toc519182671"/>
      <w:bookmarkEnd w:id="2421"/>
      <w:r>
        <w:rPr>
          <w:rFonts w:hint="eastAsia" w:ascii="宋体" w:hAnsi="宋体" w:eastAsia="宋体" w:cs="宋体"/>
          <w:color w:val="000000"/>
          <w:kern w:val="2"/>
          <w:sz w:val="21"/>
          <w:szCs w:val="21"/>
          <w:lang w:val="en-US" w:eastAsia="zh-CN" w:bidi="ar"/>
        </w:rPr>
        <w:t>公路工程专用合同条款15.4.4项细化为：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已标价工程量清单中无适用或类似子目的单价，依据以下次序原则进行处理：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（1）本标段中无适用和类似子目的，按本款以下原则组价，经监理人审核、发包人批准后计取；</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a.定额套用：《交通养护工程工程量清单计价规范》DB33/T 751—2009、《浙江省公路养护工程预算编制办法》、《浙江省公路养护工程预算定额》、《浙江省公路养护工程机械台班费用定额》、《公路工程预算定额》(JTG/T 3832-2018)、《公路工程机械台班费用定额》（JTG/T  3833-2018）及补充定额；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b.取费标准、人工费、机械台班费用：按浙交[2019]116号《转发交通运输部2018年第86号公告的通知》文件计取；       </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材料：按本项目合同专用条款16.1款公布的基期价格计入，16.1款无规定基期价格的材料，以浙江省交通厅工程造价管理站发布的投标截止期前1个月《质监与造价》上的信息价计入（台州市信息价平均值）；《质监与造价》中也无信息价的，由监理人、发包人、承包人商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d.无法套用上述定额和取费标准的，依次按水运、市政、水利、铁路、建筑定额和取费标准的顺序进行组价；上述定额有区域性的，优先适用浙江定额与取费标准；</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e.根据上述原则组价的综合单价，乘以承包人的投标总价与招标时经公布的工程量清单预算价的比例，作为该子目的单价。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yellow"/>
        </w:rPr>
      </w:pPr>
      <w:r>
        <w:rPr>
          <w:rFonts w:hint="eastAsia" w:ascii="宋体" w:hAnsi="宋体" w:eastAsia="宋体" w:cs="宋体"/>
          <w:color w:val="000000"/>
          <w:kern w:val="2"/>
          <w:sz w:val="21"/>
          <w:szCs w:val="21"/>
          <w:lang w:val="en-US" w:eastAsia="zh-CN" w:bidi="ar"/>
        </w:rPr>
        <w:t>（2）无法套用任何现行定额的，由承包人报监理人审核，并经发包人审批同意后计取。</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422" w:name="_Toc23709"/>
      <w:bookmarkEnd w:id="2422"/>
      <w:bookmarkStart w:id="2423" w:name="_Toc118378106"/>
      <w:bookmarkEnd w:id="2423"/>
      <w:bookmarkStart w:id="2424" w:name="_Toc12397"/>
      <w:r>
        <w:rPr>
          <w:rFonts w:hint="eastAsia" w:ascii="宋体" w:hAnsi="宋体" w:eastAsia="宋体" w:cs="宋体"/>
          <w:color w:val="000000"/>
          <w:kern w:val="2"/>
          <w:sz w:val="21"/>
          <w:szCs w:val="21"/>
          <w:lang w:val="en-US" w:eastAsia="zh-CN" w:bidi="ar"/>
        </w:rPr>
        <w:t>16．价格调整</w:t>
      </w:r>
      <w:bookmarkEnd w:id="2424"/>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425" w:name="_Toc282787594"/>
      <w:bookmarkEnd w:id="2425"/>
      <w:r>
        <w:rPr>
          <w:rFonts w:hint="eastAsia" w:ascii="宋体" w:hAnsi="宋体" w:eastAsia="宋体" w:cs="宋体"/>
          <w:color w:val="000000"/>
          <w:kern w:val="2"/>
          <w:sz w:val="21"/>
          <w:szCs w:val="21"/>
          <w:lang w:val="en-US" w:eastAsia="zh-CN" w:bidi="ar"/>
        </w:rPr>
        <w:t>16.1  物价波动引起的价格调整</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本项目物价波动引起的价格不调整。</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426" w:name="_Toc282779135"/>
      <w:bookmarkEnd w:id="2426"/>
      <w:bookmarkStart w:id="2427" w:name="_Toc27483"/>
      <w:bookmarkEnd w:id="2427"/>
      <w:bookmarkStart w:id="2428" w:name="_Toc8296"/>
      <w:bookmarkEnd w:id="2428"/>
      <w:bookmarkStart w:id="2429" w:name="_Toc514936637"/>
      <w:bookmarkEnd w:id="2429"/>
      <w:bookmarkStart w:id="2430" w:name="_Toc2726"/>
      <w:bookmarkEnd w:id="2430"/>
      <w:bookmarkStart w:id="2431" w:name="_Toc22075"/>
      <w:bookmarkEnd w:id="2431"/>
      <w:bookmarkStart w:id="2432" w:name="_Toc26089"/>
      <w:bookmarkEnd w:id="2432"/>
      <w:bookmarkStart w:id="2433" w:name="_Toc287853484"/>
      <w:bookmarkEnd w:id="2433"/>
      <w:bookmarkStart w:id="2434" w:name="_Toc118378107"/>
      <w:bookmarkEnd w:id="2434"/>
      <w:bookmarkStart w:id="2435" w:name="_Toc29462"/>
      <w:bookmarkEnd w:id="2435"/>
      <w:bookmarkStart w:id="2436" w:name="_Toc32204"/>
      <w:bookmarkEnd w:id="2436"/>
      <w:bookmarkStart w:id="2437" w:name="_Toc283794332"/>
      <w:bookmarkEnd w:id="2437"/>
      <w:bookmarkStart w:id="2438" w:name="_Toc288491660"/>
      <w:bookmarkEnd w:id="2438"/>
      <w:bookmarkStart w:id="2439" w:name="_Toc240883737"/>
      <w:bookmarkEnd w:id="2439"/>
      <w:bookmarkStart w:id="2440" w:name="_Toc6214"/>
      <w:bookmarkEnd w:id="2440"/>
      <w:bookmarkStart w:id="2441" w:name="_Toc2002"/>
      <w:bookmarkEnd w:id="2441"/>
      <w:bookmarkStart w:id="2442" w:name="_Toc32111"/>
      <w:bookmarkEnd w:id="2442"/>
      <w:bookmarkStart w:id="2443" w:name="_Toc23949"/>
      <w:bookmarkEnd w:id="2443"/>
      <w:bookmarkStart w:id="2444" w:name="_Toc16674"/>
      <w:bookmarkEnd w:id="2444"/>
      <w:bookmarkStart w:id="2445" w:name="_Toc282787595"/>
      <w:bookmarkEnd w:id="2445"/>
      <w:bookmarkStart w:id="2446" w:name="_Toc240724142"/>
      <w:bookmarkEnd w:id="2446"/>
      <w:bookmarkStart w:id="2447" w:name="_Toc282779644"/>
      <w:bookmarkEnd w:id="2447"/>
      <w:bookmarkStart w:id="2448" w:name="_Toc14641"/>
      <w:r>
        <w:rPr>
          <w:rFonts w:hint="eastAsia" w:ascii="宋体" w:hAnsi="宋体" w:eastAsia="宋体" w:cs="宋体"/>
          <w:color w:val="000000"/>
          <w:kern w:val="2"/>
          <w:sz w:val="21"/>
          <w:szCs w:val="21"/>
          <w:lang w:val="en-US" w:eastAsia="zh-CN" w:bidi="ar"/>
        </w:rPr>
        <w:t>17．计量与支付</w:t>
      </w:r>
      <w:bookmarkEnd w:id="2448"/>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449" w:name="_Toc239488083"/>
      <w:bookmarkEnd w:id="2449"/>
      <w:bookmarkStart w:id="2450" w:name="_Toc282779136"/>
      <w:bookmarkEnd w:id="2450"/>
      <w:bookmarkStart w:id="2451" w:name="_Toc240883738"/>
      <w:bookmarkEnd w:id="2451"/>
      <w:bookmarkStart w:id="2452" w:name="_Toc287853485"/>
      <w:bookmarkEnd w:id="2452"/>
      <w:bookmarkStart w:id="2453" w:name="_Toc288491661"/>
      <w:bookmarkEnd w:id="2453"/>
      <w:bookmarkStart w:id="2454" w:name="_Toc282787596"/>
      <w:bookmarkEnd w:id="2454"/>
      <w:bookmarkStart w:id="2455" w:name="_Toc240724143"/>
      <w:bookmarkEnd w:id="2455"/>
      <w:bookmarkStart w:id="2456" w:name="_Toc282779645"/>
      <w:bookmarkEnd w:id="2456"/>
      <w:bookmarkStart w:id="2457" w:name="_Toc283794333"/>
      <w:r>
        <w:rPr>
          <w:rFonts w:hint="eastAsia" w:ascii="宋体" w:hAnsi="宋体" w:eastAsia="宋体" w:cs="宋体"/>
          <w:color w:val="000000"/>
          <w:kern w:val="2"/>
          <w:sz w:val="21"/>
          <w:szCs w:val="21"/>
          <w:lang w:val="en-US" w:eastAsia="zh-CN" w:bidi="ar"/>
        </w:rPr>
        <w:t>17.2  预付款</w:t>
      </w:r>
      <w:bookmarkEnd w:id="2457"/>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删除本款内容修改为：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（1）开工预付款为签约合同价的40%</w:t>
      </w:r>
      <w:r>
        <w:rPr>
          <w:rFonts w:hint="eastAsia" w:ascii="宋体" w:hAnsi="宋体" w:cs="宋体"/>
          <w:color w:val="auto"/>
          <w:kern w:val="2"/>
          <w:sz w:val="21"/>
          <w:szCs w:val="21"/>
          <w:highlight w:val="none"/>
          <w:lang w:val="en-US" w:eastAsia="zh-CN" w:bidi="ar-SA"/>
        </w:rPr>
        <w:t>（其中签约合同价的1%，作为农民工工资预付款）</w:t>
      </w:r>
      <w:r>
        <w:rPr>
          <w:rFonts w:hint="eastAsia" w:ascii="宋体" w:hAnsi="宋体" w:eastAsia="宋体" w:cs="宋体"/>
          <w:color w:val="auto"/>
          <w:kern w:val="2"/>
          <w:sz w:val="21"/>
          <w:szCs w:val="21"/>
          <w:highlight w:val="none"/>
          <w:lang w:val="en-US" w:eastAsia="zh-CN" w:bidi="ar"/>
        </w:rPr>
        <w:t>，开工预付款在发出进场通知后，承包人已进驻，承包人承诺的关键机械、设备和主要人员已到施工现场，并能保证连续施工，经监理人核实、发包人批准后7个工作日内支付。</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highlight w:val="yellow"/>
        </w:rPr>
      </w:pPr>
      <w:r>
        <w:rPr>
          <w:rFonts w:hint="eastAsia" w:ascii="宋体" w:hAnsi="宋体" w:eastAsia="宋体" w:cs="宋体"/>
          <w:color w:val="000000"/>
          <w:kern w:val="2"/>
          <w:sz w:val="21"/>
          <w:szCs w:val="21"/>
          <w:highlight w:val="none"/>
          <w:lang w:val="en-US" w:eastAsia="zh-CN" w:bidi="ar"/>
        </w:rPr>
        <w:t>承包人不得将该预付款用于与本工程无关的支出，监理人有权监督承包人对该项费用的使用，如经查实承包人滥用开工预付款，发包人有权立即将该款收回。</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（2）本项目不支付材料、设备预付款。</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bookmarkStart w:id="2458" w:name="_Toc329247758"/>
      <w:bookmarkEnd w:id="2458"/>
      <w:bookmarkStart w:id="2459" w:name="_Toc18600"/>
      <w:bookmarkEnd w:id="2459"/>
      <w:bookmarkStart w:id="2460" w:name="_Toc343590103"/>
      <w:bookmarkEnd w:id="2460"/>
      <w:bookmarkStart w:id="2461" w:name="_Toc338772129"/>
      <w:bookmarkEnd w:id="2461"/>
      <w:bookmarkStart w:id="2462" w:name="_Toc32692"/>
      <w:bookmarkEnd w:id="2462"/>
      <w:bookmarkStart w:id="2463" w:name="_Toc28936"/>
      <w:bookmarkEnd w:id="2463"/>
      <w:bookmarkStart w:id="2464" w:name="_Toc338770510"/>
      <w:r>
        <w:rPr>
          <w:rFonts w:hint="eastAsia" w:ascii="宋体" w:hAnsi="宋体" w:eastAsia="宋体" w:cs="宋体"/>
          <w:color w:val="000000"/>
          <w:kern w:val="2"/>
          <w:sz w:val="21"/>
          <w:szCs w:val="21"/>
          <w:lang w:val="en-US" w:eastAsia="zh-CN" w:bidi="ar"/>
        </w:rPr>
        <w:t>17.2.2  预付款保函</w:t>
      </w:r>
      <w:bookmarkEnd w:id="246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本项目无需提交。</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17.2.3预付款扣回与还清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本项目预付款不扣回。</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17.3 工程进度付款</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对17.3.3（2）进度付款证书和支付时间做细化补充：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firstLine="420" w:firstLineChars="200"/>
        <w:jc w:val="left"/>
        <w:textAlignment w:val="auto"/>
        <w:outlineLvl w:val="2"/>
        <w:rPr>
          <w:rFonts w:hint="eastAsia"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每月凭业主、监理工程师的签证付工程款一次，额度为该月实际完成经计量的合格工程量工程款的85%（包括40%的开工预付款）；交工验收达到要求的质量标准等级后付至合格工程量工程款的90%（包括40%的开工预付款）；结算经有资质的审价机构审定后，付至工程结算价的98.5%，剩余1.5%在一年后无质量问题、无违约行为的情况下15日内付清。（若余下1.5%若承包人采用银行保函、保险机构保证保险保单和融资担保公司保函等形式向发包人提供与缺陷责任期时间一致的工程保函后（保函或保单的费用由承包人自行承担），可付至工程结算价的100%。）</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firstLine="420" w:firstLineChars="200"/>
        <w:jc w:val="left"/>
        <w:textAlignment w:val="auto"/>
        <w:outlineLvl w:val="2"/>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工程正式开工后发包人按月将工资性工程进度款足额拨付至农民工工资（劳务费）专用账户，工资性工程进度款＝签约合同价×15%÷合同工期（月）。该先行支付的工资性工程进度款项在计量支付款中予以扣回。</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18．交（竣）工验收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本条补充第18.9款：</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bookmarkStart w:id="2465" w:name="_Toc282787598"/>
      <w:bookmarkEnd w:id="2465"/>
      <w:r>
        <w:rPr>
          <w:rFonts w:hint="eastAsia" w:ascii="宋体" w:hAnsi="宋体" w:eastAsia="宋体" w:cs="宋体"/>
          <w:color w:val="000000"/>
          <w:kern w:val="2"/>
          <w:sz w:val="21"/>
          <w:szCs w:val="21"/>
          <w:highlight w:val="none"/>
          <w:lang w:val="en-US" w:eastAsia="zh-CN" w:bidi="ar"/>
        </w:rPr>
        <w:t>18.9  交（竣）工文件</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lang w:val="en-US" w:eastAsia="zh-CN" w:bidi="ar"/>
        </w:rPr>
      </w:pPr>
      <w:r>
        <w:rPr>
          <w:rFonts w:hint="eastAsia" w:ascii="宋体" w:hAnsi="宋体" w:eastAsia="宋体" w:cs="宋体"/>
          <w:color w:val="000000"/>
          <w:kern w:val="2"/>
          <w:sz w:val="21"/>
          <w:szCs w:val="21"/>
          <w:highlight w:val="none"/>
          <w:lang w:val="en-US" w:eastAsia="zh-CN" w:bidi="ar"/>
        </w:rPr>
        <w:t>（2）大中修养护工程承包人编制竣工文件，应按交通运输部2004年第3号令《公路工程竣(交)工验收办法》、交公路发【2010】65号《公路工程竣（交）工验收办法实施细则》、浙江省交通运输厅【2002】138号《浙江省公路工程竣工文件编制办法》和浙交【2019】184号《浙江省公路工程竣（交）工验收办法》的相关规定编制，在缺陷责任期内应为竣工验收补充、编制竣工资料，并在签发缺陷责任期终止证书之前提交。承包人还应按交通运输部交财发[2000]207号《交通基本建设项目竣工决算报告编制办法》的规定和要求编制(由其实施的部分)竣工决算一式六套，提交监理人审核，同时应提交全套竣工所需资料的电子文档刻录光盘或其他电子存储介质，费用由承包人承担。</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竣工文件中涉及施工及监理文件的有关表式，承包人应按《浙江省公路建设项目施工统一用表管理系统》（光盘）和浙江省交通运输厅工程质量监督局检测中心规定的统一用表（光盘）选用。光盘由承包人自备。</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highlight w:val="none"/>
        </w:rPr>
      </w:pPr>
      <w:bookmarkStart w:id="2466" w:name="_Toc282787599"/>
      <w:bookmarkEnd w:id="2466"/>
      <w:bookmarkStart w:id="2467" w:name="_Toc2607"/>
      <w:bookmarkEnd w:id="2467"/>
      <w:bookmarkStart w:id="2468" w:name="_Toc282779647"/>
      <w:bookmarkEnd w:id="2468"/>
      <w:bookmarkStart w:id="2469" w:name="_Toc282779138"/>
      <w:bookmarkEnd w:id="2469"/>
      <w:bookmarkStart w:id="2470" w:name="_Toc30612"/>
      <w:bookmarkEnd w:id="2470"/>
      <w:bookmarkStart w:id="2471" w:name="_Toc118378109"/>
      <w:bookmarkEnd w:id="2471"/>
      <w:bookmarkStart w:id="2472" w:name="_Toc8569"/>
      <w:bookmarkEnd w:id="2472"/>
      <w:bookmarkStart w:id="2473" w:name="_Toc18629"/>
      <w:bookmarkEnd w:id="2473"/>
      <w:bookmarkStart w:id="2474" w:name="_Toc287853487"/>
      <w:bookmarkEnd w:id="2474"/>
      <w:bookmarkStart w:id="2475" w:name="_Toc26697"/>
      <w:bookmarkEnd w:id="2475"/>
      <w:bookmarkStart w:id="2476" w:name="_Toc288491663"/>
      <w:bookmarkEnd w:id="2476"/>
      <w:bookmarkStart w:id="2477" w:name="_Toc7231"/>
      <w:bookmarkEnd w:id="2477"/>
      <w:bookmarkStart w:id="2478" w:name="_Toc20842"/>
      <w:bookmarkEnd w:id="2478"/>
      <w:bookmarkStart w:id="2479" w:name="_Toc9053"/>
      <w:bookmarkEnd w:id="2479"/>
      <w:bookmarkStart w:id="2480" w:name="_Toc12259"/>
      <w:bookmarkEnd w:id="2480"/>
      <w:bookmarkStart w:id="2481" w:name="_Toc11737"/>
      <w:bookmarkEnd w:id="2481"/>
      <w:bookmarkStart w:id="2482" w:name="_Toc16218"/>
      <w:bookmarkEnd w:id="2482"/>
      <w:bookmarkStart w:id="2483" w:name="_Toc2418"/>
      <w:bookmarkEnd w:id="2483"/>
      <w:bookmarkStart w:id="2484" w:name="_Toc10058"/>
      <w:bookmarkEnd w:id="2484"/>
      <w:bookmarkStart w:id="2485" w:name="_Toc514936639"/>
      <w:bookmarkEnd w:id="2485"/>
      <w:bookmarkStart w:id="2486" w:name="_Toc283794335"/>
      <w:r>
        <w:rPr>
          <w:rFonts w:hint="eastAsia" w:ascii="宋体" w:hAnsi="宋体" w:eastAsia="宋体" w:cs="宋体"/>
          <w:color w:val="000000"/>
          <w:kern w:val="2"/>
          <w:sz w:val="21"/>
          <w:szCs w:val="21"/>
          <w:highlight w:val="none"/>
          <w:lang w:val="en-US" w:eastAsia="zh-CN" w:bidi="ar"/>
        </w:rPr>
        <w:t>20.  保险</w:t>
      </w:r>
      <w:bookmarkEnd w:id="2486"/>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highlight w:val="none"/>
        </w:rPr>
      </w:pPr>
      <w:bookmarkStart w:id="2487" w:name="_Toc240883740"/>
      <w:bookmarkEnd w:id="2487"/>
      <w:bookmarkStart w:id="2488" w:name="_Toc508135455"/>
      <w:bookmarkEnd w:id="2488"/>
      <w:bookmarkStart w:id="2489" w:name="_Toc240724145"/>
      <w:bookmarkEnd w:id="2489"/>
      <w:bookmarkStart w:id="2490" w:name="_Toc238550391"/>
      <w:bookmarkEnd w:id="2490"/>
      <w:bookmarkStart w:id="2491" w:name="_Toc398118431"/>
      <w:bookmarkEnd w:id="2491"/>
      <w:bookmarkStart w:id="2492" w:name="_Toc282787601"/>
      <w:r>
        <w:rPr>
          <w:rFonts w:hint="eastAsia" w:ascii="宋体" w:hAnsi="宋体" w:eastAsia="宋体" w:cs="宋体"/>
          <w:color w:val="000000"/>
          <w:kern w:val="2"/>
          <w:sz w:val="21"/>
          <w:szCs w:val="21"/>
          <w:highlight w:val="none"/>
          <w:lang w:val="en-US" w:eastAsia="zh-CN" w:bidi="ar"/>
        </w:rPr>
        <w:t>20.1 工程保险</w:t>
      </w:r>
      <w:bookmarkEnd w:id="2492"/>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本款约定为：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建筑工程—切险的投保内容：为本合同工程的永久工程、临时工程和设备及已运至施工工地用于永久工程的材料和设备所投的保险。</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保险金额：工程量第100章（不含工程一切险和安全生产责任险的保险费）至第600章的合计金额。</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保险费率：保险费率按3‰估列。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保险期限：开工日起直至本合同工程签发缺陷责任期终止证书止（即合同工期＋缺陷责任期）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承包人应以发包人和承包人的共同名义投保建筑工程一切险。保险费由承包人承担并支付，并包含在所报的单价或总额价中，业主不予单独计量支付。</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20.2 人员工伤事故的保险</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lang w:val="en-US" w:eastAsia="zh-CN" w:bidi="ar"/>
        </w:rPr>
      </w:pPr>
      <w:r>
        <w:rPr>
          <w:rFonts w:hint="eastAsia" w:ascii="宋体" w:hAnsi="宋体"/>
          <w:color w:val="000000"/>
          <w:sz w:val="21"/>
          <w:szCs w:val="21"/>
        </w:rPr>
        <w:t>本条补充</w:t>
      </w:r>
      <w:r>
        <w:rPr>
          <w:rFonts w:hint="eastAsia" w:ascii="宋体" w:hAnsi="宋体" w:eastAsia="宋体" w:cs="宋体"/>
          <w:color w:val="000000"/>
          <w:kern w:val="2"/>
          <w:sz w:val="21"/>
          <w:szCs w:val="21"/>
          <w:lang w:val="en-US" w:eastAsia="zh-CN" w:bidi="ar"/>
        </w:rPr>
        <w:t xml:space="preserve"> 20.2.1 项：其中农民工工伤保险按 《浙江省人力资源和社会保障厅等六部门转发人力资源社会保障部等六部门关于铁路、公路、水运、水利、能源、机场工程建设项目参加工伤保险工作的通知》（浙人社发〔 2018〕 29 号）规定办理。</w:t>
      </w:r>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  对各项保险的一般要求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20.6.1  保险凭证</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本项约定为：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承包人向发包人提交各项保险失效的证据和保险单副本的期限：开工后28天内。</w:t>
      </w:r>
    </w:p>
    <w:p>
      <w:pPr>
        <w:keepNext w:val="0"/>
        <w:keepLines w:val="0"/>
        <w:widowControl w:val="0"/>
        <w:suppressLineNumbers w:val="0"/>
        <w:spacing w:before="120" w:beforeLines="50" w:beforeAutospacing="0" w:after="120" w:afterLines="50" w:afterAutospacing="0" w:line="400" w:lineRule="exact"/>
        <w:ind w:left="0" w:right="0"/>
        <w:jc w:val="left"/>
        <w:outlineLvl w:val="2"/>
        <w:rPr>
          <w:rFonts w:hint="eastAsia" w:ascii="宋体" w:hAnsi="宋体" w:eastAsia="宋体" w:cs="宋体"/>
          <w:color w:val="000000"/>
          <w:kern w:val="2"/>
          <w:sz w:val="21"/>
          <w:szCs w:val="21"/>
        </w:rPr>
      </w:pPr>
      <w:bookmarkStart w:id="2493" w:name="_Toc288491664"/>
      <w:bookmarkEnd w:id="2493"/>
      <w:bookmarkStart w:id="2494" w:name="_Toc15526"/>
      <w:bookmarkEnd w:id="2494"/>
      <w:bookmarkStart w:id="2495" w:name="_Toc118378110"/>
      <w:bookmarkEnd w:id="2495"/>
      <w:bookmarkStart w:id="2496" w:name="_Toc20863"/>
      <w:bookmarkEnd w:id="2496"/>
      <w:bookmarkStart w:id="2497" w:name="_Toc514936640"/>
      <w:bookmarkEnd w:id="2497"/>
      <w:bookmarkStart w:id="2498" w:name="_Toc13751"/>
      <w:bookmarkEnd w:id="2498"/>
      <w:bookmarkStart w:id="2499" w:name="_Toc32424"/>
      <w:bookmarkEnd w:id="2499"/>
      <w:bookmarkStart w:id="2500" w:name="_Toc13214"/>
      <w:bookmarkEnd w:id="2500"/>
      <w:bookmarkStart w:id="2501" w:name="_Toc287853488"/>
      <w:bookmarkEnd w:id="2501"/>
      <w:bookmarkStart w:id="2502" w:name="_Toc4660"/>
      <w:bookmarkEnd w:id="2502"/>
      <w:bookmarkStart w:id="2503" w:name="_Toc282779648"/>
      <w:bookmarkEnd w:id="2503"/>
      <w:bookmarkStart w:id="2504" w:name="_Toc3262"/>
      <w:bookmarkEnd w:id="2504"/>
      <w:bookmarkStart w:id="2505" w:name="_Toc282779139"/>
      <w:bookmarkEnd w:id="2505"/>
      <w:bookmarkStart w:id="2506" w:name="_Toc22125"/>
      <w:bookmarkEnd w:id="2506"/>
      <w:bookmarkStart w:id="2507" w:name="_Toc283794336"/>
      <w:bookmarkEnd w:id="2507"/>
      <w:bookmarkStart w:id="2508" w:name="_Toc282787602"/>
      <w:bookmarkEnd w:id="2508"/>
      <w:bookmarkStart w:id="2509" w:name="_Toc6809"/>
      <w:bookmarkEnd w:id="2509"/>
      <w:bookmarkStart w:id="2510" w:name="_Toc13176"/>
      <w:bookmarkEnd w:id="2510"/>
      <w:bookmarkStart w:id="2511" w:name="_Toc7942"/>
      <w:bookmarkEnd w:id="2511"/>
      <w:bookmarkStart w:id="2512" w:name="_Toc976"/>
      <w:bookmarkEnd w:id="2512"/>
      <w:bookmarkStart w:id="2513" w:name="_Toc15015"/>
      <w:r>
        <w:rPr>
          <w:rFonts w:hint="eastAsia" w:ascii="宋体" w:hAnsi="宋体" w:eastAsia="宋体" w:cs="宋体"/>
          <w:color w:val="000000"/>
          <w:kern w:val="2"/>
          <w:sz w:val="21"/>
          <w:szCs w:val="21"/>
          <w:lang w:val="en-US" w:eastAsia="zh-CN" w:bidi="ar"/>
        </w:rPr>
        <w:t>22．违约</w:t>
      </w:r>
      <w:bookmarkEnd w:id="2513"/>
    </w:p>
    <w:p>
      <w:pPr>
        <w:keepNext w:val="0"/>
        <w:keepLines w:val="0"/>
        <w:widowControl w:val="0"/>
        <w:suppressLineNumbers w:val="0"/>
        <w:spacing w:before="120" w:beforeLines="50" w:beforeAutospacing="0" w:after="120" w:afterLines="50" w:afterAutospacing="0" w:line="400" w:lineRule="exact"/>
        <w:ind w:left="0" w:right="0"/>
        <w:jc w:val="both"/>
        <w:outlineLvl w:val="3"/>
        <w:rPr>
          <w:rFonts w:hint="eastAsia" w:ascii="宋体" w:hAnsi="宋体" w:eastAsia="宋体" w:cs="宋体"/>
          <w:color w:val="000000"/>
          <w:kern w:val="2"/>
          <w:sz w:val="21"/>
          <w:szCs w:val="21"/>
        </w:rPr>
      </w:pPr>
      <w:bookmarkStart w:id="2514" w:name="_Toc282787603"/>
      <w:bookmarkEnd w:id="2514"/>
      <w:r>
        <w:rPr>
          <w:rFonts w:hint="eastAsia" w:ascii="宋体" w:hAnsi="宋体" w:eastAsia="宋体" w:cs="宋体"/>
          <w:color w:val="000000"/>
          <w:kern w:val="2"/>
          <w:sz w:val="21"/>
          <w:szCs w:val="21"/>
          <w:lang w:val="en-US" w:eastAsia="zh-CN" w:bidi="ar"/>
        </w:rPr>
        <w:t>22.1  承包人违约</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bookmarkStart w:id="2515" w:name="_Toc282787604"/>
      <w:bookmarkEnd w:id="2515"/>
      <w:bookmarkStart w:id="2516" w:name="_Toc282779140"/>
      <w:bookmarkEnd w:id="2516"/>
      <w:bookmarkStart w:id="2517" w:name="_Toc288491665"/>
      <w:bookmarkEnd w:id="2517"/>
      <w:bookmarkStart w:id="2518" w:name="_Toc282779649"/>
      <w:bookmarkEnd w:id="2518"/>
      <w:bookmarkStart w:id="2519" w:name="_Toc283794337"/>
      <w:bookmarkEnd w:id="2519"/>
      <w:bookmarkStart w:id="2520" w:name="_Toc287853489"/>
      <w:r>
        <w:rPr>
          <w:rFonts w:hint="eastAsia" w:ascii="宋体" w:hAnsi="宋体" w:eastAsia="宋体" w:cs="宋体"/>
          <w:color w:val="000000"/>
          <w:kern w:val="0"/>
          <w:sz w:val="21"/>
          <w:szCs w:val="21"/>
          <w:highlight w:val="none"/>
          <w:lang w:val="en-US" w:eastAsia="zh-CN" w:bidi="ar"/>
        </w:rPr>
        <w:t>（1）违反“投标人须知”第1.3.3项关于工程质量要求必须达到合格的规定，则课以2％合同价的违约金；</w:t>
      </w:r>
      <w:bookmarkEnd w:id="252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2）违反第4.6款关于承包人人员管理的规定，或违反第6条承包人承诺提供施工配备的关键施工设备，则课以1%合同价的违约金；主要人员离开工地必须向监理人请假，并经发包人同意后才能离开。若擅自离开工地，每天课以违约金2000元／人；若每月在工地天数不足20天（特殊情况经发包人同意例外）者，每不足一天课以违约金2000元／人；当承包人因工作安排或其它原因确需调换主要人员时，须事先得到发包人的书面批准，更换的人员资质不得低于原被替换人员的资质，经发包人批准同意更换的，按下述规定课以违约金：项目经理8万元/次，技术负责人5万元/次，其他主要人员3万元/ 次，若未经批准擅自更换的，按下述规定课以违约金：项目经理10万元/次，技术负责人8万元/次，其他主要人员5万元/ 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（3）违反第4.9款关于承包人工程价款应专款专用的规定，课以与移（挪）用资金等额的违约金；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（4）无视监理人事先的书面警告，一贯或公然忽视履行其合同规定的义务；</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（5）在接到根据第37.3或39.1款关于修复或运走、替换不合格材料、设备的规定发出的通知或指令后的14天内不遵守该通知或指令；</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（6）无正当理由而未能根据第41.1款规定开工；或在第46.1款规定的通知后的14天内，无正当理由未能采取措施加快进行本工程或其它关键部分的施工；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（7）发生了第4.1款规定的违规分包的情况；</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（8）违反第7.2款关于承包人未经监理人批准，不得对施工图进行修改的规定；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（9）违反第35.1款关于要求承包人的人员和装备必须满足工程进度和质量要求的规定；</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（10）违反第4.1.10（2）目关于维护农民工合法权益，拖欠或克扣农民工工资的。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若承包人在执行合同中，有本项（4）、（5）、（6）、（7）、（8）、（9）、（10）目等所列情况，在发包人向承包人发出书面通知的14天内未见纠正后，发包人将按每一情况酌情向承包人课以1％合同价的违约金。</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上述违约金将在履约担保中索扣。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bookmarkStart w:id="2521" w:name="_Toc340057139"/>
      <w:bookmarkEnd w:id="2521"/>
      <w:bookmarkStart w:id="2522" w:name="_Toc340057138"/>
      <w:bookmarkEnd w:id="2522"/>
      <w:bookmarkStart w:id="2523" w:name="_Toc340057141"/>
      <w:bookmarkEnd w:id="2523"/>
      <w:bookmarkStart w:id="2524" w:name="_Toc15657"/>
      <w:bookmarkEnd w:id="2524"/>
      <w:bookmarkStart w:id="2525" w:name="_Toc3022"/>
      <w:bookmarkEnd w:id="2525"/>
      <w:bookmarkStart w:id="2526" w:name="_Toc18730"/>
      <w:bookmarkEnd w:id="2526"/>
      <w:bookmarkStart w:id="2527" w:name="_Toc159959797"/>
      <w:bookmarkEnd w:id="2527"/>
      <w:bookmarkStart w:id="2528" w:name="_Toc11962"/>
      <w:bookmarkEnd w:id="2528"/>
      <w:bookmarkStart w:id="2529" w:name="_Toc159959796"/>
      <w:bookmarkEnd w:id="2529"/>
      <w:bookmarkStart w:id="2530" w:name="_Toc159959799"/>
      <w:r>
        <w:rPr>
          <w:rFonts w:hint="eastAsia" w:ascii="宋体" w:hAnsi="宋体" w:eastAsia="宋体" w:cs="宋体"/>
          <w:color w:val="000000"/>
          <w:kern w:val="0"/>
          <w:sz w:val="21"/>
          <w:szCs w:val="21"/>
          <w:lang w:val="en-US" w:eastAsia="zh-CN" w:bidi="ar"/>
        </w:rPr>
        <w:t>24．争议的解决</w:t>
      </w:r>
      <w:bookmarkEnd w:id="2530"/>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bookmarkStart w:id="2531" w:name="_Toc31932"/>
      <w:bookmarkEnd w:id="2531"/>
      <w:bookmarkStart w:id="2532" w:name="_Toc159959800"/>
      <w:bookmarkEnd w:id="2532"/>
      <w:bookmarkStart w:id="2533" w:name="_Toc29452"/>
      <w:bookmarkEnd w:id="2533"/>
      <w:bookmarkStart w:id="2534" w:name="_Toc340057142"/>
      <w:r>
        <w:rPr>
          <w:rFonts w:hint="eastAsia" w:ascii="宋体" w:hAnsi="宋体" w:eastAsia="宋体" w:cs="宋体"/>
          <w:color w:val="000000"/>
          <w:kern w:val="0"/>
          <w:sz w:val="21"/>
          <w:szCs w:val="21"/>
          <w:lang w:val="en-US" w:eastAsia="zh-CN" w:bidi="ar"/>
        </w:rPr>
        <w:t>24.1  争议的解决方式</w:t>
      </w:r>
      <w:bookmarkEnd w:id="2534"/>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本款约定：仙居县人民法院诉讼。</w:t>
      </w:r>
    </w:p>
    <w:p>
      <w:pPr>
        <w:rPr>
          <w:rFonts w:hint="eastAsia" w:ascii="宋体" w:hAnsi="宋体" w:eastAsia="宋体" w:cs="宋体"/>
          <w:color w:val="000000"/>
          <w:kern w:val="0"/>
          <w:sz w:val="21"/>
          <w:szCs w:val="21"/>
        </w:rPr>
        <w:sectPr>
          <w:pgSz w:w="11906" w:h="16838"/>
          <w:pgMar w:top="1588" w:right="1418" w:bottom="1588" w:left="1418" w:header="1021" w:footer="1134" w:gutter="0"/>
          <w:lnNumType w:countBy="0" w:distance="360"/>
          <w:cols w:space="720" w:num="1"/>
          <w:docGrid w:type="lines" w:linePitch="312" w:charSpace="0"/>
        </w:sectPr>
      </w:pPr>
    </w:p>
    <w:p>
      <w:pPr>
        <w:pStyle w:val="3"/>
        <w:widowControl/>
        <w:spacing w:before="480" w:beforeAutospacing="0" w:line="400" w:lineRule="exact"/>
        <w:jc w:val="center"/>
        <w:rPr>
          <w:rFonts w:hint="eastAsia" w:ascii="宋体" w:hAnsi="宋体" w:eastAsia="宋体" w:cs="宋体"/>
          <w:b w:val="0"/>
          <w:bCs/>
          <w:color w:val="000000"/>
          <w:spacing w:val="-6"/>
          <w:kern w:val="2"/>
          <w:sz w:val="21"/>
          <w:szCs w:val="21"/>
        </w:rPr>
      </w:pPr>
      <w:bookmarkStart w:id="2535" w:name="_Toc27030"/>
      <w:bookmarkEnd w:id="2535"/>
      <w:bookmarkStart w:id="2536" w:name="_Toc23385"/>
      <w:bookmarkEnd w:id="2536"/>
      <w:bookmarkStart w:id="2537" w:name="_Toc13560"/>
      <w:bookmarkEnd w:id="2537"/>
      <w:bookmarkStart w:id="2538" w:name="_Toc12297"/>
      <w:bookmarkEnd w:id="2538"/>
      <w:bookmarkStart w:id="2539" w:name="_Toc1238"/>
      <w:bookmarkEnd w:id="2539"/>
      <w:bookmarkStart w:id="2540" w:name="_Toc15125"/>
      <w:bookmarkEnd w:id="2540"/>
      <w:bookmarkStart w:id="2541" w:name="_Toc17958"/>
      <w:bookmarkEnd w:id="2541"/>
      <w:bookmarkStart w:id="2542" w:name="_Toc118378111"/>
      <w:bookmarkEnd w:id="2542"/>
      <w:bookmarkStart w:id="2543" w:name="_Toc12192"/>
      <w:bookmarkEnd w:id="2543"/>
      <w:bookmarkStart w:id="2544" w:name="_Toc140"/>
      <w:bookmarkEnd w:id="2544"/>
      <w:bookmarkStart w:id="2545" w:name="_Toc14688"/>
      <w:bookmarkEnd w:id="2545"/>
      <w:bookmarkStart w:id="2546" w:name="_Toc15854"/>
      <w:bookmarkEnd w:id="2546"/>
      <w:bookmarkStart w:id="2547" w:name="_Toc514936641"/>
      <w:bookmarkEnd w:id="2547"/>
      <w:bookmarkStart w:id="2548" w:name="_Toc32169"/>
      <w:bookmarkEnd w:id="2548"/>
      <w:r>
        <w:rPr>
          <w:rFonts w:hint="eastAsia" w:ascii="宋体" w:hAnsi="宋体" w:eastAsia="宋体" w:cs="宋体"/>
          <w:b/>
          <w:bCs w:val="0"/>
          <w:color w:val="000000"/>
          <w:spacing w:val="-6"/>
          <w:kern w:val="2"/>
          <w:sz w:val="28"/>
          <w:szCs w:val="28"/>
        </w:rPr>
        <w:t>第三节  合同附件格式</w:t>
      </w:r>
    </w:p>
    <w:p>
      <w:pPr>
        <w:keepNext w:val="0"/>
        <w:keepLines w:val="0"/>
        <w:widowControl w:val="0"/>
        <w:suppressLineNumbers w:val="0"/>
        <w:spacing w:before="0" w:beforeAutospacing="0" w:after="0" w:afterAutospacing="0" w:line="420" w:lineRule="exact"/>
        <w:ind w:left="0" w:right="0"/>
        <w:jc w:val="both"/>
        <w:outlineLvl w:val="2"/>
        <w:rPr>
          <w:rFonts w:hint="eastAsia" w:ascii="宋体" w:hAnsi="宋体" w:eastAsia="宋体" w:cs="宋体"/>
          <w:color w:val="000000"/>
          <w:kern w:val="2"/>
          <w:sz w:val="28"/>
          <w:szCs w:val="28"/>
        </w:rPr>
      </w:pPr>
      <w:bookmarkStart w:id="2549" w:name="_Toc233290451"/>
      <w:bookmarkEnd w:id="2549"/>
      <w:bookmarkStart w:id="2550" w:name="_Toc288491666"/>
      <w:bookmarkEnd w:id="2550"/>
      <w:bookmarkStart w:id="2551" w:name="_Toc282779141"/>
      <w:bookmarkEnd w:id="2551"/>
      <w:bookmarkStart w:id="2552" w:name="_Toc15772"/>
      <w:bookmarkEnd w:id="2552"/>
      <w:bookmarkStart w:id="2553" w:name="_Toc13136"/>
      <w:bookmarkEnd w:id="2553"/>
      <w:bookmarkStart w:id="2554" w:name="_Toc30734"/>
      <w:bookmarkEnd w:id="2554"/>
      <w:bookmarkStart w:id="2555" w:name="_Toc5140"/>
      <w:bookmarkEnd w:id="2555"/>
      <w:bookmarkStart w:id="2556" w:name="_Toc233214903"/>
      <w:bookmarkEnd w:id="2556"/>
      <w:bookmarkStart w:id="2557" w:name="_Toc118378112"/>
      <w:bookmarkEnd w:id="2557"/>
      <w:bookmarkStart w:id="2558" w:name="_Toc12834"/>
      <w:bookmarkEnd w:id="2558"/>
      <w:bookmarkStart w:id="2559" w:name="_Toc287853490"/>
      <w:bookmarkEnd w:id="2559"/>
      <w:bookmarkStart w:id="2560" w:name="_Toc20337"/>
      <w:bookmarkEnd w:id="2560"/>
      <w:bookmarkStart w:id="2561" w:name="_Toc282779650"/>
      <w:bookmarkEnd w:id="2561"/>
      <w:bookmarkStart w:id="2562" w:name="_Toc233435992"/>
      <w:bookmarkEnd w:id="2562"/>
      <w:bookmarkStart w:id="2563" w:name="_Toc16203"/>
      <w:bookmarkEnd w:id="2563"/>
      <w:bookmarkStart w:id="2564" w:name="_Toc30558"/>
      <w:bookmarkEnd w:id="2564"/>
      <w:bookmarkStart w:id="2565" w:name="_Toc183"/>
      <w:bookmarkEnd w:id="2565"/>
      <w:bookmarkStart w:id="2566" w:name="_Toc282787605"/>
      <w:bookmarkEnd w:id="2566"/>
      <w:bookmarkStart w:id="2567" w:name="_Toc514936642"/>
      <w:bookmarkEnd w:id="2567"/>
      <w:bookmarkStart w:id="2568" w:name="_Toc233429853"/>
      <w:bookmarkEnd w:id="2568"/>
      <w:bookmarkStart w:id="2569" w:name="_Toc233423336"/>
      <w:bookmarkEnd w:id="2569"/>
      <w:bookmarkStart w:id="2570" w:name="_Toc29980"/>
      <w:bookmarkEnd w:id="2570"/>
      <w:bookmarkStart w:id="2571" w:name="_Toc9554"/>
      <w:bookmarkEnd w:id="2571"/>
      <w:bookmarkStart w:id="2572" w:name="_Toc283794338"/>
      <w:bookmarkEnd w:id="2572"/>
      <w:bookmarkStart w:id="2573" w:name="_Toc20721"/>
      <w:bookmarkEnd w:id="2573"/>
      <w:bookmarkStart w:id="2574" w:name="_Toc8575"/>
      <w:r>
        <w:rPr>
          <w:rFonts w:hint="eastAsia" w:ascii="宋体" w:hAnsi="宋体" w:eastAsia="宋体" w:cs="宋体"/>
          <w:color w:val="000000"/>
          <w:kern w:val="2"/>
          <w:sz w:val="28"/>
          <w:szCs w:val="28"/>
          <w:lang w:val="en-US" w:eastAsia="zh-CN" w:bidi="ar"/>
        </w:rPr>
        <w:t>附件一  合同协议书</w:t>
      </w:r>
      <w:bookmarkEnd w:id="2574"/>
    </w:p>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合同协议书</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kern w:val="2"/>
          <w:sz w:val="21"/>
          <w:szCs w:val="21"/>
          <w:u w:val="single"/>
          <w:lang w:val="en-US" w:eastAsia="zh-CN" w:bidi="ar"/>
        </w:rPr>
        <w:t xml:space="preserve">    （发包人名称）   </w:t>
      </w:r>
      <w:r>
        <w:rPr>
          <w:rFonts w:hint="eastAsia" w:ascii="宋体" w:hAnsi="宋体" w:eastAsia="宋体" w:cs="宋体"/>
          <w:kern w:val="2"/>
          <w:sz w:val="21"/>
          <w:szCs w:val="21"/>
          <w:lang w:val="en-US" w:eastAsia="zh-CN" w:bidi="ar"/>
        </w:rPr>
        <w:t>（</w:t>
      </w:r>
      <w:r>
        <w:rPr>
          <w:rFonts w:hint="eastAsia" w:ascii="宋体" w:hAnsi="宋体" w:eastAsia="宋体" w:cs="宋体"/>
          <w:kern w:val="0"/>
          <w:sz w:val="21"/>
          <w:szCs w:val="21"/>
          <w:lang w:val="en-US" w:eastAsia="zh-CN" w:bidi="ar"/>
        </w:rPr>
        <w:t>以下简称“发包人”）</w:t>
      </w:r>
      <w:r>
        <w:rPr>
          <w:rFonts w:hint="eastAsia" w:ascii="宋体" w:hAnsi="宋体" w:eastAsia="宋体" w:cs="宋体"/>
          <w:kern w:val="2"/>
          <w:sz w:val="21"/>
          <w:szCs w:val="21"/>
          <w:lang w:val="en-US" w:eastAsia="zh-CN" w:bidi="ar"/>
        </w:rPr>
        <w:t>为实施</w:t>
      </w:r>
      <w:r>
        <w:rPr>
          <w:rFonts w:hint="eastAsia" w:ascii="宋体" w:hAnsi="宋体" w:eastAsia="宋体" w:cs="宋体"/>
          <w:kern w:val="2"/>
          <w:sz w:val="21"/>
          <w:szCs w:val="21"/>
          <w:u w:val="single"/>
          <w:lang w:val="en-US" w:eastAsia="zh-CN" w:bidi="ar"/>
        </w:rPr>
        <w:t xml:space="preserve">   （项目名称）  </w:t>
      </w:r>
      <w:r>
        <w:rPr>
          <w:rFonts w:hint="eastAsia" w:ascii="宋体" w:hAnsi="宋体" w:eastAsia="宋体" w:cs="宋体"/>
          <w:kern w:val="2"/>
          <w:sz w:val="21"/>
          <w:szCs w:val="21"/>
          <w:lang w:val="en-US" w:eastAsia="zh-CN" w:bidi="ar"/>
        </w:rPr>
        <w:t>，已接受</w:t>
      </w:r>
      <w:r>
        <w:rPr>
          <w:rFonts w:hint="eastAsia" w:ascii="宋体" w:hAnsi="宋体" w:eastAsia="宋体" w:cs="宋体"/>
          <w:kern w:val="2"/>
          <w:sz w:val="21"/>
          <w:szCs w:val="21"/>
          <w:u w:val="single"/>
          <w:lang w:val="en-US" w:eastAsia="zh-CN" w:bidi="ar"/>
        </w:rPr>
        <w:t xml:space="preserve">   （承包人名称）   </w:t>
      </w:r>
      <w:r>
        <w:rPr>
          <w:rFonts w:hint="eastAsia" w:ascii="宋体" w:hAnsi="宋体" w:eastAsia="宋体" w:cs="宋体"/>
          <w:kern w:val="2"/>
          <w:sz w:val="21"/>
          <w:szCs w:val="21"/>
          <w:lang w:val="en-US" w:eastAsia="zh-CN" w:bidi="ar"/>
        </w:rPr>
        <w:t>，</w:t>
      </w:r>
      <w:r>
        <w:rPr>
          <w:rFonts w:hint="eastAsia" w:ascii="宋体" w:hAnsi="宋体" w:eastAsia="宋体" w:cs="宋体"/>
          <w:kern w:val="0"/>
          <w:sz w:val="21"/>
          <w:szCs w:val="21"/>
          <w:lang w:val="en-US" w:eastAsia="zh-CN" w:bidi="ar"/>
        </w:rPr>
        <w:t>以下简称“承包人”）</w:t>
      </w:r>
      <w:r>
        <w:rPr>
          <w:rFonts w:hint="eastAsia" w:ascii="宋体" w:hAnsi="宋体" w:eastAsia="宋体" w:cs="宋体"/>
          <w:kern w:val="2"/>
          <w:sz w:val="21"/>
          <w:szCs w:val="21"/>
          <w:lang w:val="en-US" w:eastAsia="zh-CN" w:bidi="ar"/>
        </w:rPr>
        <w:t>对该项目标段养护工程施工的投标。发包人和承包人共同达成如下协议</w:t>
      </w:r>
      <w:r>
        <w:rPr>
          <w:rFonts w:hint="eastAsia" w:ascii="宋体" w:hAnsi="宋体" w:eastAsia="宋体" w:cs="宋体"/>
          <w:color w:val="000000"/>
          <w:kern w:val="2"/>
          <w:sz w:val="21"/>
          <w:szCs w:val="21"/>
          <w:lang w:val="en-US" w:eastAsia="zh-CN" w:bidi="ar"/>
        </w:rPr>
        <w:t>。</w:t>
      </w:r>
    </w:p>
    <w:p>
      <w:pPr>
        <w:pageBreakBefore w:val="0"/>
        <w:widowControl w:val="0"/>
        <w:numPr>
          <w:ilvl w:val="0"/>
          <w:numId w:val="0"/>
        </w:numPr>
        <w:kinsoku/>
        <w:overflowPunct/>
        <w:topLinePunct w:val="0"/>
        <w:autoSpaceDE/>
        <w:autoSpaceDN/>
        <w:bidi w:val="0"/>
        <w:snapToGrid w:val="0"/>
        <w:spacing w:line="360" w:lineRule="exact"/>
        <w:ind w:firstLine="420" w:firstLineChars="200"/>
        <w:jc w:val="left"/>
        <w:textAlignment w:val="auto"/>
        <w:rPr>
          <w:rFonts w:hint="eastAsia" w:ascii="宋体" w:hAnsi="宋体" w:eastAsia="宋体" w:cs="宋体"/>
          <w:color w:val="000000"/>
          <w:kern w:val="2"/>
          <w:sz w:val="21"/>
          <w:szCs w:val="21"/>
        </w:rPr>
      </w:pPr>
      <w:bookmarkStart w:id="2575" w:name="_Toc152042548"/>
      <w:bookmarkEnd w:id="2575"/>
      <w:bookmarkStart w:id="2576" w:name="_Toc144974828"/>
      <w:r>
        <w:rPr>
          <w:rFonts w:hint="eastAsia" w:ascii="宋体" w:hAnsi="宋体" w:eastAsia="宋体" w:cs="宋体"/>
          <w:color w:val="000000"/>
          <w:kern w:val="2"/>
          <w:sz w:val="21"/>
          <w:szCs w:val="21"/>
          <w:lang w:val="en-US" w:eastAsia="zh-CN" w:bidi="ar"/>
        </w:rPr>
        <w:t>本项目为</w:t>
      </w:r>
      <w:bookmarkEnd w:id="2576"/>
      <w:r>
        <w:rPr>
          <w:rFonts w:hint="eastAsia" w:ascii="宋体" w:hAnsi="宋体" w:eastAsia="宋体" w:cs="宋体"/>
          <w:color w:val="000000"/>
          <w:kern w:val="2"/>
          <w:sz w:val="21"/>
          <w:szCs w:val="21"/>
          <w:lang w:val="en-US" w:eastAsia="zh-CN" w:bidi="ar"/>
        </w:rPr>
        <w:t>仙居县城乡冷链物流设施项目-物流网点连线工程（下各镇），</w:t>
      </w:r>
      <w:r>
        <w:rPr>
          <w:rFonts w:hint="eastAsia"/>
          <w:color w:val="auto"/>
          <w:sz w:val="21"/>
          <w:szCs w:val="21"/>
          <w:u w:val="none"/>
          <w:lang w:eastAsia="zh-CN"/>
        </w:rPr>
        <w:t>共涉及 10 条农村公路，</w:t>
      </w:r>
      <w:r>
        <w:rPr>
          <w:rFonts w:hint="eastAsia" w:ascii="Times New Roman" w:hAnsi="Times New Roman" w:eastAsia="宋体" w:cs="Times New Roman"/>
          <w:spacing w:val="-6"/>
          <w:kern w:val="0"/>
          <w:sz w:val="21"/>
          <w:szCs w:val="21"/>
          <w:highlight w:val="none"/>
          <w:lang w:val="en-US" w:eastAsia="zh-CN" w:bidi="ar-SA"/>
        </w:rPr>
        <w:t>分别为管铁线- 里积路（K0+000</w:t>
      </w:r>
      <w:r>
        <w:rPr>
          <w:rFonts w:hint="eastAsia" w:cs="Times New Roman"/>
          <w:spacing w:val="-6"/>
          <w:kern w:val="0"/>
          <w:sz w:val="21"/>
          <w:szCs w:val="21"/>
          <w:highlight w:val="none"/>
          <w:lang w:val="en-US" w:eastAsia="zh-CN" w:bidi="ar-SA"/>
        </w:rPr>
        <w:t>—K0+420</w:t>
      </w:r>
      <w:r>
        <w:rPr>
          <w:rFonts w:hint="eastAsia" w:ascii="Times New Roman" w:hAnsi="Times New Roman" w:eastAsia="宋体" w:cs="Times New Roman"/>
          <w:spacing w:val="-6"/>
          <w:kern w:val="0"/>
          <w:sz w:val="21"/>
          <w:szCs w:val="21"/>
          <w:highlight w:val="none"/>
          <w:lang w:val="en-US" w:eastAsia="zh-CN" w:bidi="ar-SA"/>
        </w:rPr>
        <w:t>）、镇桥村道 -下洋（K0+000</w:t>
      </w:r>
      <w:r>
        <w:rPr>
          <w:rFonts w:hint="eastAsia" w:cs="Times New Roman"/>
          <w:spacing w:val="-6"/>
          <w:kern w:val="0"/>
          <w:sz w:val="21"/>
          <w:szCs w:val="21"/>
          <w:highlight w:val="none"/>
          <w:lang w:val="en-US" w:eastAsia="zh-CN" w:bidi="ar-SA"/>
        </w:rPr>
        <w:t xml:space="preserve">—K0+940 </w:t>
      </w:r>
      <w:r>
        <w:rPr>
          <w:rFonts w:hint="eastAsia" w:ascii="Times New Roman" w:hAnsi="Times New Roman" w:eastAsia="宋体" w:cs="Times New Roman"/>
          <w:spacing w:val="-6"/>
          <w:kern w:val="0"/>
          <w:sz w:val="21"/>
          <w:szCs w:val="21"/>
          <w:highlight w:val="none"/>
          <w:lang w:val="en-US" w:eastAsia="zh-CN" w:bidi="ar-SA"/>
        </w:rPr>
        <w:t>）、大怀线- 黄梁陈（K0+000</w:t>
      </w:r>
      <w:r>
        <w:rPr>
          <w:rFonts w:hint="eastAsia" w:cs="Times New Roman"/>
          <w:spacing w:val="-6"/>
          <w:kern w:val="0"/>
          <w:sz w:val="21"/>
          <w:szCs w:val="21"/>
          <w:highlight w:val="none"/>
          <w:lang w:val="en-US" w:eastAsia="zh-CN" w:bidi="ar-SA"/>
        </w:rPr>
        <w:t>—K0+522</w:t>
      </w:r>
      <w:r>
        <w:rPr>
          <w:rFonts w:hint="eastAsia" w:ascii="Times New Roman" w:hAnsi="Times New Roman" w:eastAsia="宋体" w:cs="Times New Roman"/>
          <w:spacing w:val="-6"/>
          <w:kern w:val="0"/>
          <w:sz w:val="21"/>
          <w:szCs w:val="21"/>
          <w:highlight w:val="none"/>
          <w:lang w:val="en-US" w:eastAsia="zh-CN" w:bidi="ar-SA"/>
        </w:rPr>
        <w:t>）、管铁线- 杨砩头（K0+000</w:t>
      </w:r>
      <w:r>
        <w:rPr>
          <w:rFonts w:hint="eastAsia" w:cs="Times New Roman"/>
          <w:spacing w:val="-6"/>
          <w:kern w:val="0"/>
          <w:sz w:val="21"/>
          <w:szCs w:val="21"/>
          <w:highlight w:val="none"/>
          <w:lang w:val="en-US" w:eastAsia="zh-CN" w:bidi="ar-SA"/>
        </w:rPr>
        <w:t>—K2+900</w:t>
      </w:r>
      <w:r>
        <w:rPr>
          <w:rFonts w:hint="eastAsia" w:ascii="Times New Roman" w:hAnsi="Times New Roman" w:eastAsia="宋体" w:cs="Times New Roman"/>
          <w:spacing w:val="-6"/>
          <w:kern w:val="0"/>
          <w:sz w:val="21"/>
          <w:szCs w:val="21"/>
          <w:highlight w:val="none"/>
          <w:lang w:val="en-US" w:eastAsia="zh-CN" w:bidi="ar-SA"/>
        </w:rPr>
        <w:t>）、管铁线-马垟村东（K0+000</w:t>
      </w:r>
      <w:r>
        <w:rPr>
          <w:rFonts w:hint="eastAsia" w:cs="Times New Roman"/>
          <w:spacing w:val="-6"/>
          <w:kern w:val="0"/>
          <w:sz w:val="21"/>
          <w:szCs w:val="21"/>
          <w:highlight w:val="none"/>
          <w:lang w:val="en-US" w:eastAsia="zh-CN" w:bidi="ar-SA"/>
        </w:rPr>
        <w:t>—K0+320</w:t>
      </w:r>
      <w:r>
        <w:rPr>
          <w:rFonts w:hint="eastAsia" w:ascii="Times New Roman" w:hAnsi="Times New Roman" w:eastAsia="宋体" w:cs="Times New Roman"/>
          <w:spacing w:val="-6"/>
          <w:kern w:val="0"/>
          <w:sz w:val="21"/>
          <w:szCs w:val="21"/>
          <w:highlight w:val="none"/>
          <w:lang w:val="en-US" w:eastAsia="zh-CN" w:bidi="ar-SA"/>
        </w:rPr>
        <w:t>）、管铁线-塘头（K0+000</w:t>
      </w:r>
      <w:r>
        <w:rPr>
          <w:rFonts w:hint="eastAsia" w:cs="Times New Roman"/>
          <w:spacing w:val="-6"/>
          <w:kern w:val="0"/>
          <w:sz w:val="21"/>
          <w:szCs w:val="21"/>
          <w:highlight w:val="none"/>
          <w:lang w:val="en-US" w:eastAsia="zh-CN" w:bidi="ar-SA"/>
        </w:rPr>
        <w:t>—K0+400</w:t>
      </w:r>
      <w:r>
        <w:rPr>
          <w:rFonts w:hint="eastAsia" w:ascii="Times New Roman" w:hAnsi="Times New Roman" w:eastAsia="宋体" w:cs="Times New Roman"/>
          <w:spacing w:val="-6"/>
          <w:kern w:val="0"/>
          <w:sz w:val="21"/>
          <w:szCs w:val="21"/>
          <w:highlight w:val="none"/>
          <w:lang w:val="en-US" w:eastAsia="zh-CN" w:bidi="ar-SA"/>
        </w:rPr>
        <w:t>）、白怀线-下各七村（K0+000</w:t>
      </w:r>
      <w:r>
        <w:rPr>
          <w:rFonts w:hint="eastAsia" w:cs="Times New Roman"/>
          <w:spacing w:val="-6"/>
          <w:kern w:val="0"/>
          <w:sz w:val="21"/>
          <w:szCs w:val="21"/>
          <w:highlight w:val="none"/>
          <w:lang w:val="en-US" w:eastAsia="zh-CN" w:bidi="ar-SA"/>
        </w:rPr>
        <w:t>—K0+960</w:t>
      </w:r>
      <w:r>
        <w:rPr>
          <w:rFonts w:hint="eastAsia" w:ascii="Times New Roman" w:hAnsi="Times New Roman" w:eastAsia="宋体" w:cs="Times New Roman"/>
          <w:spacing w:val="-6"/>
          <w:kern w:val="0"/>
          <w:sz w:val="21"/>
          <w:szCs w:val="21"/>
          <w:highlight w:val="none"/>
          <w:lang w:val="en-US" w:eastAsia="zh-CN" w:bidi="ar-SA"/>
        </w:rPr>
        <w:t>）、白怀线-吴家井（K0+000</w:t>
      </w:r>
      <w:r>
        <w:rPr>
          <w:rFonts w:hint="eastAsia" w:cs="Times New Roman"/>
          <w:spacing w:val="-6"/>
          <w:kern w:val="0"/>
          <w:sz w:val="21"/>
          <w:szCs w:val="21"/>
          <w:highlight w:val="none"/>
          <w:lang w:val="en-US" w:eastAsia="zh-CN" w:bidi="ar-SA"/>
        </w:rPr>
        <w:t>—K3+690</w:t>
      </w:r>
      <w:r>
        <w:rPr>
          <w:rFonts w:hint="eastAsia" w:ascii="Times New Roman" w:hAnsi="Times New Roman" w:eastAsia="宋体" w:cs="Times New Roman"/>
          <w:spacing w:val="-6"/>
          <w:kern w:val="0"/>
          <w:sz w:val="21"/>
          <w:szCs w:val="21"/>
          <w:highlight w:val="none"/>
          <w:lang w:val="en-US" w:eastAsia="zh-CN" w:bidi="ar-SA"/>
        </w:rPr>
        <w:t>）、吴家井村道-里基岙（K0+000</w:t>
      </w:r>
      <w:r>
        <w:rPr>
          <w:rFonts w:hint="eastAsia" w:cs="Times New Roman"/>
          <w:spacing w:val="-6"/>
          <w:kern w:val="0"/>
          <w:sz w:val="21"/>
          <w:szCs w:val="21"/>
          <w:highlight w:val="none"/>
          <w:lang w:val="en-US" w:eastAsia="zh-CN" w:bidi="ar-SA"/>
        </w:rPr>
        <w:t>—K0+930</w:t>
      </w:r>
      <w:r>
        <w:rPr>
          <w:rFonts w:hint="eastAsia" w:ascii="Times New Roman" w:hAnsi="Times New Roman" w:eastAsia="宋体" w:cs="Times New Roman"/>
          <w:spacing w:val="-6"/>
          <w:kern w:val="0"/>
          <w:sz w:val="21"/>
          <w:szCs w:val="21"/>
          <w:highlight w:val="none"/>
          <w:lang w:val="en-US" w:eastAsia="zh-CN" w:bidi="ar-SA"/>
        </w:rPr>
        <w:t>）、白怀线-前潘村（K0+000</w:t>
      </w:r>
      <w:r>
        <w:rPr>
          <w:rFonts w:hint="eastAsia" w:cs="Times New Roman"/>
          <w:spacing w:val="-6"/>
          <w:kern w:val="0"/>
          <w:sz w:val="21"/>
          <w:szCs w:val="21"/>
          <w:highlight w:val="none"/>
          <w:lang w:val="en-US" w:eastAsia="zh-CN" w:bidi="ar-SA"/>
        </w:rPr>
        <w:t>—K1+825</w:t>
      </w:r>
      <w:r>
        <w:rPr>
          <w:rFonts w:hint="eastAsia" w:ascii="Times New Roman" w:hAnsi="Times New Roman" w:eastAsia="宋体" w:cs="Times New Roman"/>
          <w:spacing w:val="-6"/>
          <w:kern w:val="0"/>
          <w:sz w:val="21"/>
          <w:szCs w:val="21"/>
          <w:highlight w:val="none"/>
          <w:lang w:val="en-US" w:eastAsia="zh-CN" w:bidi="ar-SA"/>
        </w:rPr>
        <w:t>），</w:t>
      </w:r>
      <w:r>
        <w:rPr>
          <w:rFonts w:hint="eastAsia"/>
          <w:color w:val="auto"/>
          <w:sz w:val="21"/>
          <w:szCs w:val="21"/>
          <w:u w:val="none"/>
          <w:lang w:eastAsia="zh-CN"/>
        </w:rPr>
        <w:t>全长 12.907km</w:t>
      </w:r>
      <w:r>
        <w:rPr>
          <w:rFonts w:hint="eastAsia" w:eastAsia="宋体"/>
          <w:color w:val="auto"/>
          <w:sz w:val="21"/>
          <w:szCs w:val="21"/>
          <w:u w:val="none"/>
          <w:lang w:val="en-US" w:eastAsia="zh-CN"/>
        </w:rPr>
        <w:t>。</w:t>
      </w:r>
      <w:r>
        <w:rPr>
          <w:rFonts w:hint="eastAsia" w:ascii="宋体" w:hAnsi="宋体" w:eastAsia="宋体" w:cs="宋体"/>
          <w:color w:val="000000"/>
          <w:kern w:val="2"/>
          <w:sz w:val="21"/>
          <w:szCs w:val="21"/>
          <w:highlight w:val="none"/>
          <w:lang w:val="en-US" w:eastAsia="zh-CN" w:bidi="ar"/>
        </w:rPr>
        <w:t>实施内容为对原水泥路面进行局部病害维修，对挡墙、边沟、安全设施等进行破损修复等。</w:t>
      </w:r>
    </w:p>
    <w:p>
      <w:pPr>
        <w:keepNext w:val="0"/>
        <w:keepLines w:val="0"/>
        <w:widowControl w:val="0"/>
        <w:numPr>
          <w:ilvl w:val="0"/>
          <w:numId w:val="10"/>
        </w:numPr>
        <w:suppressLineNumbers w:val="0"/>
        <w:spacing w:before="0" w:beforeAutospacing="0" w:after="0" w:afterAutospacing="0" w:line="420" w:lineRule="exact"/>
        <w:ind w:left="0" w:right="0" w:firstLine="718" w:firstLineChars="342"/>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下列文件应视为构成合同文件的组成部分：</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bookmarkStart w:id="2577" w:name="_Toc144974829"/>
      <w:bookmarkEnd w:id="2577"/>
      <w:bookmarkStart w:id="2578" w:name="_Toc152042549"/>
      <w:bookmarkEnd w:id="2578"/>
      <w:r>
        <w:rPr>
          <w:rFonts w:hint="eastAsia" w:ascii="宋体" w:hAnsi="宋体" w:eastAsia="宋体" w:cs="宋体"/>
          <w:color w:val="000000"/>
          <w:kern w:val="2"/>
          <w:sz w:val="21"/>
          <w:szCs w:val="21"/>
          <w:lang w:val="en-US" w:eastAsia="zh-CN" w:bidi="ar"/>
        </w:rPr>
        <w:t>（1）本协议书及各种合同附件（含评标期间和合同谈判过程中的澄清文件和补充资料）；</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（2）中标通知书；</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（3）投标函及投标函附录；</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（4）项目专用合同条款；</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（5）通用合同条款；</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（6）技术规范；</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（7）图纸；</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（8）已标价工程量清单；</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（9）承包人有关人员、设备投入的承诺及投标文件中的养护工程作业方案；</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（10）其它合同文件。</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3．上述文件互相补充和解释，如有不明确或不一致之处，以合同约定次序在先者为准。</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w:t>
      </w:r>
      <w:r>
        <w:rPr>
          <w:rFonts w:hint="eastAsia" w:ascii="宋体" w:hAnsi="宋体" w:eastAsia="宋体" w:cs="宋体"/>
          <w:kern w:val="2"/>
          <w:sz w:val="21"/>
          <w:szCs w:val="21"/>
          <w:lang w:val="en-US" w:eastAsia="zh-CN" w:bidi="ar"/>
        </w:rPr>
        <w:t>根据工程量清单所列的预计数量和单价总额价计算的签约合同价：人民币（大写）</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元（¥</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5．承包人项目经理：</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；项目技术负责人：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；安全负责人：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6．本合同养护工程质量符合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标准。</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7．为本合同养护工程实施和完成的报酬，发包人承诺按合同已标价工程量清单子目单价及实际数量，以计价规范作为工程计量支付依据的约定条件向承包人支付工程价款。</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8．承包人承诺按合同约定承担本养护工程的实施、完成及缺陷修复。</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9．承包人按照监理人指示进驻，承包期为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10．本协议书在承包人提供履约担保后，由双方法定代表人或其委托代理人签署并加盖单位章后生效。全部养护工程完工后经交工验收合格、缺陷责任期满发缺陷责任终止证书后失效。</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11．本协议书正本二份、副本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份，合同双方各执正本一份，副本</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份，当正本与副本的内容不一致时，以正本为准。</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12．合同未尽事宜，双方另行签订补充协议。补充协议是合同的组成部分。</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   承包人：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法定代表人或其委托代理人：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  法定代表人或其委托代理人：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月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日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月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firstLine="735" w:firstLineChars="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outlineLvl w:val="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br w:type="page"/>
      </w:r>
      <w:bookmarkStart w:id="2579" w:name="_Toc24070"/>
      <w:bookmarkEnd w:id="2579"/>
      <w:bookmarkStart w:id="2580" w:name="_Toc5715"/>
      <w:bookmarkEnd w:id="2580"/>
      <w:bookmarkStart w:id="2581" w:name="_Toc282779652"/>
      <w:bookmarkEnd w:id="2581"/>
      <w:bookmarkStart w:id="2582" w:name="_Toc233435993"/>
      <w:bookmarkEnd w:id="2582"/>
      <w:bookmarkStart w:id="2583" w:name="_Toc4951"/>
      <w:bookmarkEnd w:id="2583"/>
      <w:bookmarkStart w:id="2584" w:name="_Toc144974831"/>
      <w:bookmarkEnd w:id="2584"/>
      <w:bookmarkStart w:id="2585" w:name="_Toc233423337"/>
      <w:bookmarkEnd w:id="2585"/>
      <w:bookmarkStart w:id="2586" w:name="_Toc288491668"/>
      <w:bookmarkEnd w:id="2586"/>
      <w:bookmarkStart w:id="2587" w:name="_Toc152042551"/>
      <w:bookmarkEnd w:id="2587"/>
      <w:bookmarkStart w:id="2588" w:name="_Toc282779143"/>
      <w:bookmarkEnd w:id="2588"/>
      <w:bookmarkStart w:id="2589" w:name="_Toc118378113"/>
      <w:bookmarkEnd w:id="2589"/>
      <w:bookmarkStart w:id="2590" w:name="_Toc12623"/>
      <w:bookmarkEnd w:id="2590"/>
      <w:bookmarkStart w:id="2591" w:name="_Toc30119"/>
      <w:bookmarkEnd w:id="2591"/>
      <w:bookmarkStart w:id="2592" w:name="_Toc179632787"/>
      <w:bookmarkEnd w:id="2592"/>
      <w:bookmarkStart w:id="2593" w:name="_Toc5675"/>
      <w:bookmarkEnd w:id="2593"/>
      <w:bookmarkStart w:id="2594" w:name="_Toc112"/>
      <w:bookmarkEnd w:id="2594"/>
      <w:bookmarkStart w:id="2595" w:name="_Toc7136"/>
      <w:bookmarkEnd w:id="2595"/>
      <w:bookmarkStart w:id="2596" w:name="_Toc21868"/>
      <w:bookmarkEnd w:id="2596"/>
      <w:bookmarkStart w:id="2597" w:name="_Toc29877"/>
      <w:bookmarkEnd w:id="2597"/>
      <w:bookmarkStart w:id="2598" w:name="_Toc233214904"/>
      <w:bookmarkEnd w:id="2598"/>
      <w:bookmarkStart w:id="2599" w:name="_Toc233429854"/>
      <w:bookmarkEnd w:id="2599"/>
      <w:bookmarkStart w:id="2600" w:name="_Toc287853492"/>
      <w:bookmarkEnd w:id="2600"/>
      <w:bookmarkStart w:id="2601" w:name="_Toc514936643"/>
      <w:bookmarkEnd w:id="2601"/>
      <w:bookmarkStart w:id="2602" w:name="_Toc283794340"/>
      <w:bookmarkEnd w:id="2602"/>
      <w:bookmarkStart w:id="2603" w:name="_Toc21133"/>
      <w:bookmarkEnd w:id="2603"/>
      <w:bookmarkStart w:id="2604" w:name="_Toc233290452"/>
      <w:bookmarkEnd w:id="2604"/>
      <w:bookmarkStart w:id="2605" w:name="_Toc15034"/>
      <w:bookmarkEnd w:id="2605"/>
      <w:bookmarkStart w:id="2606" w:name="_Toc7522"/>
      <w:bookmarkEnd w:id="2606"/>
      <w:bookmarkStart w:id="2607" w:name="_Toc282787607"/>
      <w:bookmarkEnd w:id="2607"/>
      <w:bookmarkStart w:id="2608" w:name="_Toc152045769"/>
      <w:r>
        <w:rPr>
          <w:rFonts w:hint="eastAsia" w:ascii="宋体" w:hAnsi="宋体" w:eastAsia="宋体" w:cs="宋体"/>
          <w:color w:val="000000"/>
          <w:kern w:val="2"/>
          <w:sz w:val="28"/>
          <w:szCs w:val="28"/>
          <w:lang w:val="en-US" w:eastAsia="zh-CN" w:bidi="ar"/>
        </w:rPr>
        <w:t>附件二  廉政合同</w:t>
      </w:r>
      <w:bookmarkEnd w:id="2608"/>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廉 政 合 同</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（项目名称）的项目法人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（项目法人名称，</w:t>
      </w:r>
      <w:r>
        <w:rPr>
          <w:rFonts w:hint="eastAsia" w:ascii="宋体" w:hAnsi="宋体" w:eastAsia="宋体" w:cs="宋体"/>
          <w:color w:val="000000"/>
          <w:kern w:val="0"/>
          <w:sz w:val="21"/>
          <w:szCs w:val="21"/>
          <w:lang w:val="en-US" w:eastAsia="zh-CN" w:bidi="ar"/>
        </w:rPr>
        <w:t>以下简称“发包人”）</w:t>
      </w:r>
      <w:r>
        <w:rPr>
          <w:rFonts w:hint="eastAsia" w:ascii="宋体" w:hAnsi="宋体" w:eastAsia="宋体" w:cs="宋体"/>
          <w:color w:val="000000"/>
          <w:kern w:val="2"/>
          <w:sz w:val="21"/>
          <w:szCs w:val="21"/>
          <w:lang w:val="en-US" w:eastAsia="zh-CN" w:bidi="ar"/>
        </w:rPr>
        <w:t>与该项目的公路养护施工单位</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（施工单位名称，</w:t>
      </w:r>
      <w:r>
        <w:rPr>
          <w:rFonts w:hint="eastAsia" w:ascii="宋体" w:hAnsi="宋体" w:eastAsia="宋体" w:cs="宋体"/>
          <w:color w:val="000000"/>
          <w:kern w:val="0"/>
          <w:sz w:val="21"/>
          <w:szCs w:val="21"/>
          <w:lang w:val="en-US" w:eastAsia="zh-CN" w:bidi="ar"/>
        </w:rPr>
        <w:t>以下简称“承包人”）</w:t>
      </w:r>
      <w:r>
        <w:rPr>
          <w:rFonts w:hint="eastAsia" w:ascii="宋体" w:hAnsi="宋体" w:eastAsia="宋体" w:cs="宋体"/>
          <w:color w:val="000000"/>
          <w:kern w:val="2"/>
          <w:sz w:val="21"/>
          <w:szCs w:val="21"/>
          <w:lang w:val="en-US" w:eastAsia="zh-CN" w:bidi="ar"/>
        </w:rPr>
        <w:t>，特订立如下合同。</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1．发包人和承包人双方的权利和义务</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（1）严格遵守党的政策规定和国家有关法律及交通运输部和浙江省交通运输厅的有关规定。</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（2）严格执行</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（项目名称）合同文件，自觉按合同办事。</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（3）双方的业务活动坚持公开、公正、诚信、透明的原则（法律认定的商业秘密和合同文件另有规定除外），不得损害国家和集体利益，不得违反工程建设管理规章制度。</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（4）建立健全廉政制度，开展廉政教育，设立廉政告示牌，公布举报电话，监督并认真查处违法违纪行为。</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（5）发现对方在业务活动中有违反廉政规定的行为，有及时提醒对方纠正的权利和义务。</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（6）发现对方严重违反本合同义务条款的行为，有向其上级有关部门举报、建议给予处理并要求告知处理结果的权利。</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2．发包人的义务</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（1）发包人及其工作人员不得索要或接受承包人的礼金，有价证券和贵重物品，不得让承包人报销任何应由发包人或发包人工作人员个人支付的费用等。</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（2）发包人工作人员不得参加承包人安排的超标准宴请和娱乐活动；不得接受承包人提供的通讯工具、交通工具和高档办公用品等。</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（3）发包人及其工作人员不得要求或者接受承包人为其住房装修、婚丧嫁娶活动、配偶子女的工作安排以及出国出境、旅游等提供方便等。</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（4）发包人工作人员及其配偶、子女不得从事与发包人工程有关的材料设备供应、工程分包、劳务等经济活动等。</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（5）发包人及其工作人员不得以任何理由向承包人推荐分包单位或推销材料，不得要求承包人购买合同规定外的材料和设备。</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（6）发包人工作人员要秉公办事，不准营私舞弊，不准利用职权从事各种个人有偿中介活动和安排个人施工队伍。</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3．承包人义务</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（1）承包人不得以任何理由向发包人及其工作人员行贿或馈赠礼金、有价证券、贵重礼品。</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（2）承包人不得以任何名义为发包人及其工作人员报销由发包人单位或个人支付的任何费用。</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（3）承包人不得以任何理由安排发包人工作人员参加超标准宴请及娱乐活动。</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（4）承包人不得为发包人单位和个人购置或提供通讯工具、交通工具和高档办公用品等。</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4．违约责任</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（1）发包人及其工作人员违反本合同第1、2条，按管理权限，依据有关规定给予党纪、政纪或组织处理；涉嫌犯罪的，移交司法机关追究刑事责任；给承包人单位造成经济损失的，应予以赔偿。</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承包人及其工作人员违反本合同第1、3条，按管理权限，依据有关规定，给予党纪、政纪或组织处理；给发包人单位造成经济损失的，应予以赔偿;情节严重的，发包人建议交通工程建设主管部门给予承包人一至三年内不得进入其主管的交通工程建设市场的处罚。</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6．本合同有效期为发包人和承包人签署之日起至该工程项目竣工验收后止。</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7．本合同作为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（项目名称）施工合同的附件，与工程施工合同具有同等的法律效力，经合同双方签署立即生效。</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8．本合同一式四份，由发包人和承包人各执一份，送交发包人和承包人的监督单位各一份。</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   承包人：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法定代表人                             法定代表人</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            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月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日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月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lang w:val="en-US" w:eastAsia="zh-CN" w:bidi="ar"/>
        </w:rPr>
        <w:t>发包人监督单位：</w:t>
      </w:r>
      <w:r>
        <w:rPr>
          <w:rFonts w:hint="eastAsia" w:ascii="宋体" w:hAnsi="宋体" w:eastAsia="宋体" w:cs="宋体"/>
          <w:color w:val="000000"/>
          <w:kern w:val="2"/>
          <w:sz w:val="21"/>
          <w:szCs w:val="21"/>
          <w:u w:val="single"/>
          <w:lang w:val="en-US" w:eastAsia="zh-CN" w:bidi="ar"/>
        </w:rPr>
        <w:t>（全称）（盖单位章）</w:t>
      </w:r>
      <w:r>
        <w:rPr>
          <w:rFonts w:hint="eastAsia" w:ascii="宋体" w:hAnsi="宋体" w:eastAsia="宋体" w:cs="宋体"/>
          <w:color w:val="000000"/>
          <w:kern w:val="2"/>
          <w:sz w:val="21"/>
          <w:szCs w:val="21"/>
          <w:lang w:val="en-US" w:eastAsia="zh-CN" w:bidi="ar"/>
        </w:rPr>
        <w:t xml:space="preserve">     承包人监督单位：</w:t>
      </w:r>
      <w:r>
        <w:rPr>
          <w:rFonts w:hint="eastAsia" w:ascii="宋体" w:hAnsi="宋体" w:eastAsia="宋体" w:cs="宋体"/>
          <w:color w:val="000000"/>
          <w:kern w:val="2"/>
          <w:sz w:val="21"/>
          <w:szCs w:val="21"/>
          <w:u w:val="single"/>
          <w:lang w:val="en-US" w:eastAsia="zh-CN" w:bidi="ar"/>
        </w:rPr>
        <w:t>（全称）（盖单位章）</w:t>
      </w:r>
      <w:bookmarkStart w:id="2609" w:name="_Toc233435994"/>
      <w:bookmarkEnd w:id="2609"/>
      <w:bookmarkStart w:id="2610" w:name="_Toc282779653"/>
      <w:bookmarkEnd w:id="2610"/>
      <w:bookmarkStart w:id="2611" w:name="_Toc283794341"/>
      <w:bookmarkEnd w:id="2611"/>
      <w:bookmarkStart w:id="2612" w:name="_Toc233290453"/>
      <w:bookmarkEnd w:id="2612"/>
      <w:bookmarkStart w:id="2613" w:name="_Toc282779144"/>
      <w:bookmarkEnd w:id="2613"/>
      <w:bookmarkStart w:id="2614" w:name="_Toc288491669"/>
      <w:bookmarkEnd w:id="2614"/>
      <w:bookmarkStart w:id="2615" w:name="_Toc233214905"/>
      <w:bookmarkEnd w:id="2615"/>
      <w:bookmarkStart w:id="2616" w:name="_Toc233429855"/>
      <w:bookmarkEnd w:id="2616"/>
      <w:bookmarkStart w:id="2617" w:name="_Toc233423338"/>
      <w:bookmarkEnd w:id="2617"/>
      <w:bookmarkStart w:id="2618" w:name="_Toc287853493"/>
      <w:bookmarkEnd w:id="2618"/>
      <w:bookmarkStart w:id="2619" w:name="_Toc282787608"/>
      <w:bookmarkEnd w:id="2619"/>
    </w:p>
    <w:p>
      <w:pPr>
        <w:keepNext w:val="0"/>
        <w:keepLines w:val="0"/>
        <w:widowControl w:val="0"/>
        <w:suppressLineNumbers w:val="0"/>
        <w:spacing w:before="0" w:beforeAutospacing="0" w:after="0" w:afterAutospacing="0" w:line="420" w:lineRule="exact"/>
        <w:ind w:left="0" w:right="0"/>
        <w:jc w:val="both"/>
        <w:outlineLvl w:val="2"/>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br w:type="page"/>
      </w:r>
      <w:bookmarkStart w:id="2620" w:name="_Toc118378114"/>
      <w:bookmarkEnd w:id="2620"/>
      <w:bookmarkStart w:id="2621" w:name="_Toc22647"/>
      <w:bookmarkEnd w:id="2621"/>
      <w:bookmarkStart w:id="2622" w:name="_Toc514936644"/>
      <w:bookmarkEnd w:id="2622"/>
      <w:bookmarkStart w:id="2623" w:name="_Toc21412"/>
      <w:bookmarkEnd w:id="2623"/>
      <w:bookmarkStart w:id="2624" w:name="_Toc17056"/>
      <w:bookmarkEnd w:id="2624"/>
      <w:bookmarkStart w:id="2625" w:name="_Toc3138"/>
      <w:bookmarkEnd w:id="2625"/>
      <w:bookmarkStart w:id="2626" w:name="_Toc22329"/>
      <w:bookmarkEnd w:id="2626"/>
      <w:bookmarkStart w:id="2627" w:name="_Toc29236"/>
      <w:bookmarkEnd w:id="2627"/>
      <w:bookmarkStart w:id="2628" w:name="_Toc5618"/>
      <w:bookmarkEnd w:id="2628"/>
      <w:bookmarkStart w:id="2629" w:name="_Toc21158"/>
      <w:bookmarkEnd w:id="2629"/>
      <w:bookmarkStart w:id="2630" w:name="_Toc16114"/>
      <w:bookmarkEnd w:id="2630"/>
      <w:bookmarkStart w:id="2631" w:name="_Toc16299"/>
      <w:bookmarkEnd w:id="2631"/>
      <w:bookmarkStart w:id="2632" w:name="_Toc23867"/>
      <w:bookmarkEnd w:id="2632"/>
      <w:bookmarkStart w:id="2633" w:name="_Toc21417"/>
      <w:bookmarkEnd w:id="2633"/>
      <w:bookmarkStart w:id="2634" w:name="_Toc28485"/>
      <w:r>
        <w:rPr>
          <w:rFonts w:hint="eastAsia" w:ascii="宋体" w:hAnsi="宋体" w:eastAsia="宋体" w:cs="宋体"/>
          <w:color w:val="000000"/>
          <w:kern w:val="2"/>
          <w:sz w:val="28"/>
          <w:szCs w:val="28"/>
          <w:lang w:val="en-US" w:eastAsia="zh-CN" w:bidi="ar"/>
        </w:rPr>
        <w:t>附件三  安全生产合同</w:t>
      </w:r>
      <w:bookmarkEnd w:id="2634"/>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安全生产合同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为在</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（项目名称）施工合同的实施过程中创造安全、高效的施工环境，切实搞好本项目的安全</w:t>
      </w:r>
      <w:r>
        <w:rPr>
          <w:rFonts w:hint="eastAsia" w:ascii="宋体" w:hAnsi="宋体" w:eastAsia="宋体" w:cs="宋体"/>
          <w:kern w:val="2"/>
          <w:sz w:val="21"/>
          <w:szCs w:val="21"/>
          <w:lang w:val="en-US" w:eastAsia="zh-CN" w:bidi="ar"/>
        </w:rPr>
        <w:fldChar w:fldCharType="begin"/>
      </w:r>
      <w:r>
        <w:rPr>
          <w:rFonts w:hint="eastAsia" w:ascii="宋体" w:hAnsi="宋体" w:eastAsia="宋体" w:cs="宋体"/>
          <w:kern w:val="2"/>
          <w:sz w:val="21"/>
          <w:szCs w:val="21"/>
          <w:lang w:val="en-US" w:eastAsia="zh-CN" w:bidi="ar"/>
        </w:rPr>
        <w:instrText xml:space="preserve"> HYPERLINK "http://lwcool.com/lw/showcls.asp?id=162&amp;parent=0" </w:instrText>
      </w:r>
      <w:r>
        <w:rPr>
          <w:rFonts w:hint="eastAsia" w:ascii="宋体" w:hAnsi="宋体" w:eastAsia="宋体" w:cs="宋体"/>
          <w:kern w:val="2"/>
          <w:sz w:val="21"/>
          <w:szCs w:val="21"/>
          <w:lang w:val="en-US" w:eastAsia="zh-CN" w:bidi="ar"/>
        </w:rPr>
        <w:fldChar w:fldCharType="separate"/>
      </w:r>
      <w:r>
        <w:rPr>
          <w:rStyle w:val="30"/>
          <w:rFonts w:hint="eastAsia" w:ascii="宋体" w:hAnsi="宋体" w:eastAsia="宋体" w:cs="宋体"/>
          <w:color w:val="000000"/>
          <w:kern w:val="2"/>
          <w:sz w:val="21"/>
          <w:szCs w:val="21"/>
        </w:rPr>
        <w:t>管理</w:t>
      </w:r>
      <w:r>
        <w:rPr>
          <w:rFonts w:hint="eastAsia" w:ascii="宋体" w:hAnsi="宋体" w:eastAsia="宋体" w:cs="宋体"/>
          <w:kern w:val="2"/>
          <w:sz w:val="21"/>
          <w:szCs w:val="21"/>
          <w:lang w:val="en-US" w:eastAsia="zh-CN" w:bidi="ar"/>
        </w:rPr>
        <w:fldChar w:fldCharType="end"/>
      </w:r>
      <w:r>
        <w:rPr>
          <w:rFonts w:hint="eastAsia" w:ascii="宋体" w:hAnsi="宋体" w:eastAsia="宋体" w:cs="宋体"/>
          <w:color w:val="000000"/>
          <w:kern w:val="2"/>
          <w:sz w:val="21"/>
          <w:szCs w:val="21"/>
          <w:lang w:val="en-US" w:eastAsia="zh-CN" w:bidi="ar"/>
        </w:rPr>
        <w:t>工作，本项目发包人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（发包人名称，以下简称“发包人”）与承包人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（承包人名称，以下简称“承包人”）特此签订安全生产合同：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1.发包人职责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（1）严格遵守国家有关安全生产的法律法规，认真执行工程承包合同中的有关安全要求。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（2）按照“安全第一、预防为主、综合治理”和坚持“管生产必须管安全”的原则进行安全生产管理，做到生产与安全工作同时计划、布置、检查、总结和评比。</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（3）重要的安全设施必须坚持与主体工程“三同时”的原则，即：同时设计、审批，同时施工，同时验收，投入使用。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（4）定期召开安全生产调度会，及时传达中央及地方有关安全生产的精神。</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（5）组织对承包人施工现场安全生产检查，监督承包人及时处理发现的各种安全隐患。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2.承包人职责</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（4）承包人在任何时候都应采取各种合理的预防措施，防止其员工发生任何违法、违禁、暴力或妨碍治安的行为。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（7）操作人员上岗，必须按规定穿戴防护用品。施工负责人和安全检查员应随时检查劳动防护用品的穿戴情况，不按规定穿戴防护用品的人员不得上岗。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（8）所有施工机具设备和高空作业的设备均应定期检查，并有安全员的签字记录，保证其经常处于完好状态；不合格的机具、设备和劳动保护用品严禁使用：</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（9）施工中采用新技术、新工艺、新设备、新材料时，必须制定相应的安全技术措施，施工现场必须具有相关的安全标志牌。</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（11）</w:t>
      </w:r>
      <w:r>
        <w:rPr>
          <w:rFonts w:hint="eastAsia" w:ascii="宋体" w:hAnsi="宋体" w:eastAsia="宋体" w:cs="宋体"/>
          <w:color w:val="000000"/>
          <w:kern w:val="2"/>
          <w:sz w:val="21"/>
          <w:szCs w:val="21"/>
          <w:lang w:val="en-US" w:eastAsia="zh-CN" w:bidi="ar"/>
        </w:rPr>
        <w:t>安全生产费用按照浙交【2021】12号《省交通运输厅关于印发&lt;浙江省交通建设工程安全生产费用管理办法&gt;的通知》的相关规定使用和管理</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3.违约责任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如因发包人或承包人违约造成安全事故，将依法追究责任。</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4.本合同由双方法定代表人或其授权的代理人签署并加盖单位章后生效，全部工程竣工验收后失效。</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5．本合同正本一式二份，副本</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份，合同双方各执正本一份，副本</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份。当正本与副本的内容不一致时，以正本为准。</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发包人：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   承包人：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法定代表人                             法定代表人</w:t>
      </w:r>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            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日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jc w:val="both"/>
        <w:outlineLvl w:val="2"/>
        <w:rPr>
          <w:rFonts w:hint="eastAsia" w:ascii="宋体" w:hAnsi="宋体" w:eastAsia="宋体" w:cs="宋体"/>
          <w:color w:val="000000"/>
          <w:kern w:val="2"/>
          <w:sz w:val="21"/>
          <w:szCs w:val="21"/>
        </w:rPr>
      </w:pPr>
      <w:bookmarkStart w:id="2635" w:name="_Toc233429858"/>
      <w:bookmarkEnd w:id="2635"/>
      <w:bookmarkStart w:id="2636" w:name="_Toc233423341"/>
      <w:bookmarkEnd w:id="2636"/>
      <w:bookmarkStart w:id="2637" w:name="_Toc233290456"/>
      <w:bookmarkEnd w:id="2637"/>
      <w:bookmarkStart w:id="2638" w:name="_Toc287853494"/>
      <w:bookmarkEnd w:id="2638"/>
      <w:bookmarkStart w:id="2639" w:name="_Toc282787609"/>
      <w:bookmarkEnd w:id="2639"/>
      <w:bookmarkStart w:id="2640" w:name="_Toc283794342"/>
      <w:bookmarkEnd w:id="2640"/>
      <w:bookmarkStart w:id="2641" w:name="_Toc282779654"/>
      <w:bookmarkEnd w:id="2641"/>
      <w:bookmarkStart w:id="2642" w:name="_Toc233435997"/>
      <w:bookmarkEnd w:id="2642"/>
      <w:bookmarkStart w:id="2643" w:name="_Toc233214908"/>
      <w:bookmarkEnd w:id="2643"/>
      <w:bookmarkStart w:id="2644" w:name="_Toc288491670"/>
      <w:bookmarkEnd w:id="2644"/>
      <w:bookmarkStart w:id="2645" w:name="_Toc282779145"/>
      <w:r>
        <w:rPr>
          <w:rFonts w:hint="eastAsia" w:ascii="宋体" w:hAnsi="宋体" w:eastAsia="宋体" w:cs="宋体"/>
          <w:color w:val="000000"/>
          <w:kern w:val="2"/>
          <w:sz w:val="21"/>
          <w:szCs w:val="21"/>
          <w:lang w:val="en-US" w:eastAsia="zh-CN" w:bidi="ar"/>
        </w:rPr>
        <w:br w:type="page"/>
      </w:r>
      <w:bookmarkEnd w:id="2645"/>
      <w:bookmarkStart w:id="2646" w:name="_Toc17522"/>
      <w:bookmarkEnd w:id="2646"/>
      <w:bookmarkStart w:id="2647" w:name="_Toc21198"/>
      <w:bookmarkEnd w:id="2647"/>
      <w:bookmarkStart w:id="2648" w:name="_Toc10658"/>
      <w:bookmarkEnd w:id="2648"/>
      <w:bookmarkStart w:id="2649" w:name="_Toc17180"/>
      <w:bookmarkEnd w:id="2649"/>
      <w:bookmarkStart w:id="2650" w:name="_Toc7361"/>
      <w:bookmarkEnd w:id="2650"/>
      <w:bookmarkStart w:id="2651" w:name="_Toc118378115"/>
      <w:bookmarkEnd w:id="2651"/>
      <w:bookmarkStart w:id="2652" w:name="_Toc514936645"/>
      <w:bookmarkEnd w:id="2652"/>
      <w:bookmarkStart w:id="2653" w:name="_Toc25955"/>
      <w:bookmarkEnd w:id="2653"/>
      <w:bookmarkStart w:id="2654" w:name="_Toc2691"/>
      <w:bookmarkEnd w:id="2654"/>
      <w:bookmarkStart w:id="2655" w:name="_Toc8166"/>
      <w:bookmarkEnd w:id="2655"/>
      <w:bookmarkStart w:id="2656" w:name="_Toc25575"/>
      <w:bookmarkEnd w:id="2656"/>
      <w:bookmarkStart w:id="2657" w:name="_Toc31473"/>
      <w:bookmarkEnd w:id="2657"/>
      <w:bookmarkStart w:id="2658" w:name="_Toc29135"/>
      <w:bookmarkEnd w:id="2658"/>
      <w:bookmarkStart w:id="2659" w:name="_Toc4191"/>
      <w:bookmarkEnd w:id="2659"/>
      <w:bookmarkStart w:id="2660" w:name="_Toc31939"/>
      <w:r>
        <w:rPr>
          <w:rFonts w:hint="eastAsia" w:ascii="宋体" w:hAnsi="宋体" w:eastAsia="宋体" w:cs="宋体"/>
          <w:color w:val="000000"/>
          <w:kern w:val="2"/>
          <w:sz w:val="28"/>
          <w:szCs w:val="28"/>
          <w:lang w:val="en-US" w:eastAsia="zh-CN" w:bidi="ar"/>
        </w:rPr>
        <w:t>附件四 项目经理委任书</w:t>
      </w:r>
      <w:bookmarkEnd w:id="2660"/>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lang w:val="en-US" w:eastAsia="zh-CN" w:bidi="ar"/>
        </w:rPr>
        <w:t>（承包人全称）</w:t>
      </w:r>
    </w:p>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（合同工程名称）</w:t>
      </w:r>
      <w:r>
        <w:rPr>
          <w:rFonts w:hint="eastAsia" w:ascii="宋体" w:hAnsi="宋体" w:eastAsia="宋体" w:cs="宋体"/>
          <w:color w:val="000000"/>
          <w:kern w:val="2"/>
          <w:sz w:val="21"/>
          <w:szCs w:val="21"/>
          <w:lang w:val="en-US" w:eastAsia="zh-CN" w:bidi="ar"/>
        </w:rPr>
        <w:t>项目经理委任书</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lang w:val="en-US" w:eastAsia="zh-CN" w:bidi="ar"/>
        </w:rPr>
        <w:t>致：</w:t>
      </w:r>
      <w:r>
        <w:rPr>
          <w:rFonts w:hint="eastAsia" w:ascii="宋体" w:hAnsi="宋体" w:eastAsia="宋体" w:cs="宋体"/>
          <w:color w:val="000000"/>
          <w:kern w:val="2"/>
          <w:sz w:val="21"/>
          <w:szCs w:val="21"/>
          <w:u w:val="single"/>
          <w:lang w:val="en-US" w:eastAsia="zh-CN" w:bidi="ar"/>
        </w:rPr>
        <w:t>（发包人全称）</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（承包人全称）</w:t>
      </w:r>
      <w:r>
        <w:rPr>
          <w:rFonts w:hint="eastAsia" w:ascii="宋体" w:hAnsi="宋体" w:eastAsia="宋体" w:cs="宋体"/>
          <w:color w:val="000000"/>
          <w:kern w:val="2"/>
          <w:sz w:val="21"/>
          <w:szCs w:val="21"/>
          <w:lang w:val="en-US" w:eastAsia="zh-CN" w:bidi="ar"/>
        </w:rPr>
        <w:t>法定代表人</w:t>
      </w:r>
      <w:r>
        <w:rPr>
          <w:rFonts w:hint="eastAsia" w:ascii="宋体" w:hAnsi="宋体" w:eastAsia="宋体" w:cs="宋体"/>
          <w:color w:val="000000"/>
          <w:kern w:val="2"/>
          <w:sz w:val="21"/>
          <w:szCs w:val="21"/>
          <w:u w:val="single"/>
          <w:lang w:val="en-US" w:eastAsia="zh-CN" w:bidi="ar"/>
        </w:rPr>
        <w:t>（职务、姓名）</w:t>
      </w:r>
      <w:r>
        <w:rPr>
          <w:rFonts w:hint="eastAsia" w:ascii="宋体" w:hAnsi="宋体" w:eastAsia="宋体" w:cs="宋体"/>
          <w:color w:val="000000"/>
          <w:kern w:val="2"/>
          <w:sz w:val="21"/>
          <w:szCs w:val="21"/>
          <w:lang w:val="en-US" w:eastAsia="zh-CN" w:bidi="ar"/>
        </w:rPr>
        <w:t>代表本单位委任</w:t>
      </w:r>
      <w:r>
        <w:rPr>
          <w:rFonts w:hint="eastAsia" w:ascii="宋体" w:hAnsi="宋体" w:eastAsia="宋体" w:cs="宋体"/>
          <w:color w:val="000000"/>
          <w:kern w:val="2"/>
          <w:sz w:val="21"/>
          <w:szCs w:val="21"/>
          <w:u w:val="single"/>
          <w:lang w:val="en-US" w:eastAsia="zh-CN" w:bidi="ar"/>
        </w:rPr>
        <w:t>（职务、姓名）</w:t>
      </w:r>
      <w:r>
        <w:rPr>
          <w:rFonts w:hint="eastAsia" w:ascii="宋体" w:hAnsi="宋体" w:eastAsia="宋体" w:cs="宋体"/>
          <w:color w:val="000000"/>
          <w:kern w:val="2"/>
          <w:sz w:val="21"/>
          <w:szCs w:val="21"/>
          <w:lang w:val="en-US" w:eastAsia="zh-CN" w:bidi="ar"/>
        </w:rPr>
        <w:t>为</w:t>
      </w:r>
      <w:r>
        <w:rPr>
          <w:rFonts w:hint="eastAsia" w:ascii="宋体" w:hAnsi="宋体" w:eastAsia="宋体" w:cs="宋体"/>
          <w:color w:val="000000"/>
          <w:kern w:val="2"/>
          <w:sz w:val="21"/>
          <w:szCs w:val="21"/>
          <w:u w:val="single"/>
          <w:lang w:val="en-US" w:eastAsia="zh-CN" w:bidi="ar"/>
        </w:rPr>
        <w:t>（合同工程名称）</w:t>
      </w:r>
      <w:r>
        <w:rPr>
          <w:rFonts w:hint="eastAsia" w:ascii="宋体" w:hAnsi="宋体" w:eastAsia="宋体" w:cs="宋体"/>
          <w:color w:val="000000"/>
          <w:kern w:val="2"/>
          <w:sz w:val="21"/>
          <w:szCs w:val="21"/>
          <w:lang w:val="en-US" w:eastAsia="zh-CN" w:bidi="ar"/>
        </w:rPr>
        <w:t>的项目经理。凡本合同执行中的有关技术、工程进度、现场管理、质量检验、结算与支付等方面工作，由</w:t>
      </w:r>
      <w:r>
        <w:rPr>
          <w:rFonts w:hint="eastAsia" w:ascii="宋体" w:hAnsi="宋体" w:eastAsia="宋体" w:cs="宋体"/>
          <w:color w:val="000000"/>
          <w:kern w:val="2"/>
          <w:sz w:val="21"/>
          <w:szCs w:val="21"/>
          <w:u w:val="single"/>
          <w:lang w:val="en-US" w:eastAsia="zh-CN" w:bidi="ar"/>
        </w:rPr>
        <w:t xml:space="preserve"> （姓名） </w:t>
      </w:r>
      <w:r>
        <w:rPr>
          <w:rFonts w:hint="eastAsia" w:ascii="宋体" w:hAnsi="宋体" w:eastAsia="宋体" w:cs="宋体"/>
          <w:color w:val="000000"/>
          <w:kern w:val="2"/>
          <w:sz w:val="21"/>
          <w:szCs w:val="21"/>
          <w:lang w:val="en-US" w:eastAsia="zh-CN" w:bidi="ar"/>
        </w:rPr>
        <w:t>代表本单位全面负责。</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3990" w:firstLineChars="19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承包人：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w:t>
      </w:r>
    </w:p>
    <w:p>
      <w:pPr>
        <w:keepNext w:val="0"/>
        <w:keepLines w:val="0"/>
        <w:widowControl w:val="0"/>
        <w:suppressLineNumbers w:val="0"/>
        <w:spacing w:before="0" w:beforeAutospacing="0" w:after="0" w:afterAutospacing="0" w:line="420" w:lineRule="exact"/>
        <w:ind w:left="0" w:right="0" w:firstLine="4620" w:firstLineChars="2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法定代表人：</w:t>
      </w:r>
      <w:r>
        <w:rPr>
          <w:rFonts w:hint="eastAsia" w:ascii="宋体" w:hAnsi="宋体" w:eastAsia="宋体" w:cs="宋体"/>
          <w:color w:val="000000"/>
          <w:kern w:val="2"/>
          <w:sz w:val="21"/>
          <w:szCs w:val="21"/>
          <w:u w:val="single"/>
          <w:lang w:val="en-US" w:eastAsia="zh-CN" w:bidi="ar"/>
        </w:rPr>
        <w:t xml:space="preserve">   （职务）   </w:t>
      </w:r>
    </w:p>
    <w:p>
      <w:pPr>
        <w:keepNext w:val="0"/>
        <w:keepLines w:val="0"/>
        <w:widowControl w:val="0"/>
        <w:suppressLineNumbers w:val="0"/>
        <w:spacing w:before="0" w:beforeAutospacing="0" w:after="0" w:afterAutospacing="0" w:line="420" w:lineRule="exact"/>
        <w:ind w:left="0" w:right="0" w:firstLine="5880" w:firstLineChars="2800"/>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lang w:val="en-US" w:eastAsia="zh-CN" w:bidi="ar"/>
        </w:rPr>
        <w:t xml:space="preserve">   （姓名）   </w:t>
      </w:r>
    </w:p>
    <w:p>
      <w:pPr>
        <w:keepNext w:val="0"/>
        <w:keepLines w:val="0"/>
        <w:widowControl w:val="0"/>
        <w:suppressLineNumbers w:val="0"/>
        <w:spacing w:before="0" w:beforeAutospacing="0" w:after="0" w:afterAutospacing="0" w:line="420" w:lineRule="exact"/>
        <w:ind w:left="0" w:right="0" w:firstLine="5880" w:firstLineChars="2800"/>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lang w:val="en-US" w:eastAsia="zh-CN" w:bidi="ar"/>
        </w:rPr>
        <w:t xml:space="preserve">   （签字）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5040" w:firstLineChars="24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lang w:val="en-US" w:eastAsia="zh-CN" w:bidi="ar"/>
        </w:rPr>
        <w:t>抄送：</w:t>
      </w:r>
      <w:r>
        <w:rPr>
          <w:rFonts w:hint="eastAsia" w:ascii="宋体" w:hAnsi="宋体" w:eastAsia="宋体" w:cs="宋体"/>
          <w:color w:val="000000"/>
          <w:kern w:val="2"/>
          <w:sz w:val="21"/>
          <w:szCs w:val="21"/>
          <w:u w:val="single"/>
          <w:lang w:val="en-US" w:eastAsia="zh-CN" w:bidi="ar"/>
        </w:rPr>
        <w:t xml:space="preserve">  （监理人）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outlineLvl w:val="2"/>
        <w:rPr>
          <w:rFonts w:hint="eastAsia" w:ascii="宋体" w:hAnsi="宋体" w:eastAsia="宋体" w:cs="宋体"/>
          <w:color w:val="000000"/>
          <w:kern w:val="2"/>
          <w:sz w:val="21"/>
          <w:szCs w:val="21"/>
        </w:rPr>
      </w:pPr>
      <w:bookmarkStart w:id="2661" w:name="_Toc282779655"/>
      <w:bookmarkEnd w:id="2661"/>
      <w:bookmarkStart w:id="2662" w:name="_Toc233429859"/>
      <w:bookmarkEnd w:id="2662"/>
      <w:bookmarkStart w:id="2663" w:name="_Toc233435998"/>
      <w:bookmarkEnd w:id="2663"/>
      <w:bookmarkStart w:id="2664" w:name="_Toc233423342"/>
      <w:bookmarkEnd w:id="2664"/>
      <w:bookmarkStart w:id="2665" w:name="_Toc288491671"/>
      <w:bookmarkEnd w:id="2665"/>
      <w:bookmarkStart w:id="2666" w:name="_Toc282787610"/>
      <w:bookmarkEnd w:id="2666"/>
      <w:bookmarkStart w:id="2667" w:name="_Toc282779146"/>
      <w:bookmarkEnd w:id="2667"/>
      <w:bookmarkStart w:id="2668" w:name="_Toc287853495"/>
      <w:bookmarkEnd w:id="2668"/>
      <w:bookmarkStart w:id="2669" w:name="_Toc233214909"/>
      <w:bookmarkEnd w:id="2669"/>
      <w:bookmarkStart w:id="2670" w:name="_Toc233290457"/>
      <w:bookmarkEnd w:id="2670"/>
      <w:bookmarkStart w:id="2671" w:name="_Toc283794343"/>
      <w:r>
        <w:rPr>
          <w:rFonts w:hint="eastAsia" w:ascii="宋体" w:hAnsi="宋体" w:eastAsia="宋体" w:cs="宋体"/>
          <w:color w:val="000000"/>
          <w:kern w:val="2"/>
          <w:sz w:val="21"/>
          <w:szCs w:val="21"/>
          <w:lang w:val="en-US" w:eastAsia="zh-CN" w:bidi="ar"/>
        </w:rPr>
        <w:br w:type="page"/>
      </w:r>
      <w:bookmarkEnd w:id="2671"/>
      <w:bookmarkStart w:id="2672" w:name="_Toc1048"/>
      <w:bookmarkEnd w:id="2672"/>
      <w:bookmarkStart w:id="2673" w:name="_Toc2270"/>
      <w:bookmarkEnd w:id="2673"/>
      <w:bookmarkStart w:id="2674" w:name="_Toc26848"/>
      <w:bookmarkEnd w:id="2674"/>
      <w:bookmarkStart w:id="2675" w:name="_Toc25257"/>
      <w:bookmarkEnd w:id="2675"/>
      <w:bookmarkStart w:id="2676" w:name="_Toc118378116"/>
      <w:bookmarkEnd w:id="2676"/>
      <w:bookmarkStart w:id="2677" w:name="_Toc514936646"/>
      <w:bookmarkEnd w:id="2677"/>
      <w:bookmarkStart w:id="2678" w:name="_Toc11809"/>
      <w:bookmarkEnd w:id="2678"/>
      <w:bookmarkStart w:id="2679" w:name="_Toc20848"/>
      <w:bookmarkEnd w:id="2679"/>
      <w:bookmarkStart w:id="2680" w:name="_Toc21062"/>
      <w:bookmarkEnd w:id="2680"/>
      <w:bookmarkStart w:id="2681" w:name="_Toc7689"/>
      <w:bookmarkEnd w:id="2681"/>
      <w:bookmarkStart w:id="2682" w:name="_Toc20776"/>
      <w:bookmarkEnd w:id="2682"/>
      <w:bookmarkStart w:id="2683" w:name="_Toc20639"/>
      <w:bookmarkEnd w:id="2683"/>
      <w:bookmarkStart w:id="2684" w:name="_Toc8584"/>
      <w:bookmarkEnd w:id="2684"/>
      <w:bookmarkStart w:id="2685" w:name="_Toc6904"/>
      <w:bookmarkEnd w:id="2685"/>
      <w:bookmarkStart w:id="2686" w:name="_Toc11675"/>
      <w:r>
        <w:rPr>
          <w:rFonts w:hint="eastAsia" w:ascii="宋体" w:hAnsi="宋体" w:eastAsia="宋体" w:cs="宋体"/>
          <w:color w:val="000000"/>
          <w:kern w:val="2"/>
          <w:sz w:val="28"/>
          <w:szCs w:val="28"/>
          <w:lang w:val="en-US" w:eastAsia="zh-CN" w:bidi="ar"/>
        </w:rPr>
        <w:t>附件五  履约担保格式</w:t>
      </w:r>
      <w:bookmarkEnd w:id="2686"/>
    </w:p>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履 约 担 保</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 （发包人名称）：</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鉴于</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（发包人名称，</w:t>
      </w:r>
      <w:r>
        <w:rPr>
          <w:rFonts w:hint="eastAsia" w:ascii="宋体" w:hAnsi="宋体" w:eastAsia="宋体" w:cs="宋体"/>
          <w:color w:val="000000"/>
          <w:kern w:val="0"/>
          <w:sz w:val="21"/>
          <w:szCs w:val="21"/>
          <w:lang w:val="en-US" w:eastAsia="zh-CN" w:bidi="ar"/>
        </w:rPr>
        <w:t>以下简称“发包人”）</w:t>
      </w:r>
      <w:r>
        <w:rPr>
          <w:rFonts w:hint="eastAsia" w:ascii="宋体" w:hAnsi="宋体" w:eastAsia="宋体" w:cs="宋体"/>
          <w:color w:val="000000"/>
          <w:kern w:val="2"/>
          <w:sz w:val="21"/>
          <w:szCs w:val="21"/>
          <w:lang w:val="en-US" w:eastAsia="zh-CN" w:bidi="ar"/>
        </w:rPr>
        <w:t xml:space="preserve">接受 </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（承包人名称）（</w:t>
      </w:r>
      <w:r>
        <w:rPr>
          <w:rFonts w:hint="eastAsia" w:ascii="宋体" w:hAnsi="宋体" w:eastAsia="宋体" w:cs="宋体"/>
          <w:color w:val="000000"/>
          <w:kern w:val="0"/>
          <w:sz w:val="21"/>
          <w:szCs w:val="21"/>
          <w:lang w:val="en-US" w:eastAsia="zh-CN" w:bidi="ar"/>
        </w:rPr>
        <w:t>以下简称“承包人”）</w:t>
      </w:r>
      <w:r>
        <w:rPr>
          <w:rFonts w:hint="eastAsia" w:ascii="宋体" w:hAnsi="宋体" w:eastAsia="宋体" w:cs="宋体"/>
          <w:color w:val="000000"/>
          <w:kern w:val="2"/>
          <w:sz w:val="21"/>
          <w:szCs w:val="21"/>
          <w:lang w:val="en-US" w:eastAsia="zh-CN" w:bidi="ar"/>
        </w:rPr>
        <w:t>于</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日参加</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 xml:space="preserve">（项目名称）施工的投标。我方愿意无条件地、不可撤销地就承包人履行与你方订立的合同，向你方提供担保。 </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1．担保金额人民币（大写）</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元（¥</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2．担保有效期自发包人与承包人签订的合同生效之日起至发包人签发工程接收证书之日止。</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3．在本担保有效期内，因承包人违反合同约定的义务给你方造成经济损失时，我方在收到你方以书面形式提出的在担保金额内的赔偿要求后，在7天内无条件支付，无须你方出具证明或陈述理由。</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4．发包人和承包人按合同条款第15条变更合同时，我方承担本担保规定的义务不变。</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担 保 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（盖单位章）</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法定代表人或其委托代理人：</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（签字）</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地    址：</w:t>
      </w:r>
      <w:r>
        <w:rPr>
          <w:rFonts w:hint="eastAsia" w:ascii="宋体" w:hAnsi="宋体" w:eastAsia="宋体" w:cs="宋体"/>
          <w:color w:val="000000"/>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邮政编码：</w:t>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ab/>
      </w:r>
      <w:r>
        <w:rPr>
          <w:rFonts w:hint="eastAsia" w:ascii="宋体" w:hAnsi="宋体" w:eastAsia="宋体" w:cs="宋体"/>
          <w:color w:val="000000"/>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lang w:val="en-US" w:eastAsia="zh-CN" w:bidi="ar"/>
        </w:rPr>
        <w:t>电    话：</w:t>
      </w:r>
      <w:r>
        <w:rPr>
          <w:rFonts w:hint="eastAsia" w:ascii="宋体" w:hAnsi="宋体" w:eastAsia="宋体" w:cs="宋体"/>
          <w:color w:val="000000"/>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20" w:lineRule="exact"/>
        <w:ind w:left="0" w:right="0" w:firstLine="3418" w:firstLineChars="1628"/>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传    真：</w:t>
      </w:r>
      <w:r>
        <w:rPr>
          <w:rFonts w:hint="eastAsia" w:ascii="宋体" w:hAnsi="宋体" w:eastAsia="宋体" w:cs="宋体"/>
          <w:color w:val="000000"/>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firstLine="4935" w:firstLineChars="23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年</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月</w:t>
      </w:r>
      <w:r>
        <w:rPr>
          <w:rFonts w:hint="eastAsia" w:ascii="宋体" w:hAnsi="宋体" w:eastAsia="宋体" w:cs="宋体"/>
          <w:color w:val="000000"/>
          <w:kern w:val="2"/>
          <w:sz w:val="21"/>
          <w:szCs w:val="21"/>
          <w:u w:val="single"/>
          <w:lang w:val="en-US" w:eastAsia="zh-CN" w:bidi="ar"/>
        </w:rPr>
        <w:t xml:space="preserve">     </w:t>
      </w:r>
      <w:r>
        <w:rPr>
          <w:rFonts w:hint="eastAsia" w:ascii="宋体" w:hAnsi="宋体" w:eastAsia="宋体" w:cs="宋体"/>
          <w:color w:val="000000"/>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wordWrap w:val="0"/>
        <w:spacing w:before="0" w:beforeAutospacing="0" w:after="0" w:afterAutospacing="0" w:line="400" w:lineRule="exact"/>
        <w:ind w:left="0" w:right="0"/>
        <w:jc w:val="both"/>
        <w:outlineLvl w:val="2"/>
        <w:rPr>
          <w:rFonts w:hint="eastAsia" w:ascii="宋体" w:hAnsi="宋体" w:eastAsia="宋体" w:cs="宋体"/>
          <w:kern w:val="2"/>
          <w:sz w:val="21"/>
          <w:szCs w:val="21"/>
        </w:rPr>
      </w:pPr>
      <w:bookmarkStart w:id="2687" w:name="_Toc508135467"/>
      <w:bookmarkEnd w:id="2687"/>
      <w:r>
        <w:rPr>
          <w:rFonts w:hint="eastAsia" w:ascii="宋体" w:hAnsi="宋体" w:eastAsia="宋体" w:cs="宋体"/>
          <w:color w:val="000000"/>
          <w:kern w:val="2"/>
          <w:sz w:val="21"/>
          <w:szCs w:val="21"/>
          <w:lang w:val="en-US" w:eastAsia="zh-CN" w:bidi="ar"/>
        </w:rPr>
        <w:br w:type="page"/>
      </w:r>
      <w:bookmarkStart w:id="2688" w:name="_Toc25163"/>
      <w:bookmarkEnd w:id="2688"/>
      <w:bookmarkStart w:id="2689" w:name="_Toc996"/>
      <w:bookmarkEnd w:id="2689"/>
      <w:bookmarkStart w:id="2690" w:name="_Toc3071"/>
      <w:bookmarkEnd w:id="2690"/>
      <w:bookmarkStart w:id="2691" w:name="_Toc1870"/>
      <w:bookmarkEnd w:id="2691"/>
      <w:bookmarkStart w:id="2692" w:name="_Toc263889346"/>
      <w:bookmarkEnd w:id="2692"/>
      <w:bookmarkStart w:id="2693" w:name="_Toc7852"/>
      <w:bookmarkEnd w:id="2693"/>
      <w:bookmarkStart w:id="2694" w:name="_Toc24847"/>
      <w:bookmarkEnd w:id="2694"/>
      <w:bookmarkStart w:id="2695" w:name="_Toc469484850"/>
      <w:bookmarkEnd w:id="2695"/>
      <w:bookmarkStart w:id="2696" w:name="_Toc514936647"/>
      <w:bookmarkEnd w:id="2696"/>
      <w:bookmarkStart w:id="2697" w:name="_Toc31575"/>
      <w:bookmarkEnd w:id="2697"/>
      <w:bookmarkStart w:id="2698" w:name="_Toc262896019"/>
      <w:bookmarkEnd w:id="2698"/>
      <w:bookmarkStart w:id="2699" w:name="_Toc245477463"/>
      <w:bookmarkEnd w:id="2699"/>
      <w:bookmarkStart w:id="2700" w:name="_Toc17194"/>
      <w:bookmarkEnd w:id="2700"/>
      <w:bookmarkStart w:id="2701" w:name="_Toc118378117"/>
      <w:bookmarkEnd w:id="2701"/>
      <w:bookmarkStart w:id="2702" w:name="_Toc15368"/>
      <w:bookmarkEnd w:id="2702"/>
      <w:bookmarkStart w:id="2703" w:name="_Toc3601"/>
      <w:bookmarkEnd w:id="2703"/>
      <w:bookmarkStart w:id="2704" w:name="_Toc15658"/>
      <w:bookmarkEnd w:id="2704"/>
      <w:bookmarkStart w:id="2705" w:name="_Toc14218"/>
      <w:bookmarkEnd w:id="2705"/>
      <w:bookmarkStart w:id="2706" w:name="_Toc644"/>
      <w:bookmarkEnd w:id="2706"/>
      <w:bookmarkStart w:id="2707" w:name="_Toc449077600"/>
      <w:bookmarkEnd w:id="2707"/>
      <w:bookmarkStart w:id="2708" w:name="_Toc30332"/>
      <w:bookmarkEnd w:id="2708"/>
      <w:bookmarkStart w:id="2709" w:name="_Toc29447"/>
      <w:r>
        <w:rPr>
          <w:rFonts w:hint="eastAsia" w:ascii="宋体" w:hAnsi="宋体" w:eastAsia="宋体" w:cs="宋体"/>
          <w:color w:val="000000"/>
          <w:kern w:val="2"/>
          <w:sz w:val="28"/>
          <w:szCs w:val="28"/>
          <w:lang w:val="en-US" w:eastAsia="zh-CN" w:bidi="ar"/>
        </w:rPr>
        <w:t>附件六  工程质量责任合同</w:t>
      </w:r>
      <w:bookmarkEnd w:id="2709"/>
    </w:p>
    <w:p>
      <w:pPr>
        <w:keepNext w:val="0"/>
        <w:keepLines w:val="0"/>
        <w:widowControl w:val="0"/>
        <w:suppressLineNumbers w:val="0"/>
        <w:wordWrap w:val="0"/>
        <w:spacing w:before="0" w:beforeAutospacing="0" w:after="0" w:afterAutospacing="0" w:line="400" w:lineRule="exact"/>
        <w:ind w:left="0" w:right="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工程质量责任合同</w:t>
      </w:r>
    </w:p>
    <w:p>
      <w:pPr>
        <w:keepNext w:val="0"/>
        <w:keepLines w:val="0"/>
        <w:widowControl w:val="0"/>
        <w:suppressLineNumbers w:val="0"/>
        <w:wordWrap w:val="0"/>
        <w:spacing w:before="0" w:beforeAutospacing="0" w:after="0" w:afterAutospacing="0" w:line="400" w:lineRule="exact"/>
        <w:ind w:left="0" w:right="0" w:firstLine="420" w:firstLineChars="200"/>
        <w:jc w:val="left"/>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根据国务院《建设工程质量管理条例》，为保证在设计使用年限内建设工程质量，</w:t>
      </w:r>
      <w:r>
        <w:rPr>
          <w:rFonts w:hint="eastAsia" w:ascii="宋体" w:hAnsi="宋体" w:eastAsia="宋体" w:cs="宋体"/>
          <w:kern w:val="2"/>
          <w:sz w:val="21"/>
          <w:szCs w:val="21"/>
          <w:u w:val="single"/>
          <w:lang w:val="en-US" w:eastAsia="zh-CN" w:bidi="ar"/>
        </w:rPr>
        <w:t>（项目名称）</w:t>
      </w:r>
      <w:r>
        <w:rPr>
          <w:rFonts w:hint="eastAsia" w:ascii="宋体" w:hAnsi="宋体" w:eastAsia="宋体" w:cs="宋体"/>
          <w:kern w:val="2"/>
          <w:sz w:val="21"/>
          <w:szCs w:val="21"/>
          <w:lang w:val="en-US" w:eastAsia="zh-CN" w:bidi="ar"/>
        </w:rPr>
        <w:t>的发包人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（以下称甲方）与承包人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（以下称乙方），特订立如下质量责任合同。</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第一条  本建设工程项目的质量目标为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，承包人对本建设工程的施工质量在设计使用年限内依法终身负责。施工质量责任人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第二条  甲乙双方的权利与义务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（一）严格遵守国家有关法律法规及交通运输部、浙江省交通运输厅的有关规定。</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（二）严格</w:t>
      </w:r>
      <w:r>
        <w:rPr>
          <w:rFonts w:hint="eastAsia" w:ascii="宋体" w:hAnsi="宋体" w:eastAsia="宋体" w:cs="宋体"/>
          <w:spacing w:val="-2"/>
          <w:kern w:val="2"/>
          <w:sz w:val="21"/>
          <w:szCs w:val="21"/>
          <w:lang w:val="en-US" w:eastAsia="zh-CN" w:bidi="ar"/>
        </w:rPr>
        <w:t>执行</w:t>
      </w:r>
      <w:r>
        <w:rPr>
          <w:rFonts w:hint="eastAsia" w:ascii="宋体" w:hAnsi="宋体" w:eastAsia="宋体" w:cs="宋体"/>
          <w:spacing w:val="-2"/>
          <w:kern w:val="2"/>
          <w:sz w:val="21"/>
          <w:szCs w:val="21"/>
          <w:u w:val="single"/>
          <w:lang w:val="en-US" w:eastAsia="zh-CN" w:bidi="ar"/>
        </w:rPr>
        <w:t xml:space="preserve"> （</w:t>
      </w:r>
      <w:r>
        <w:rPr>
          <w:rFonts w:hint="eastAsia" w:ascii="宋体" w:hAnsi="宋体" w:eastAsia="宋体" w:cs="宋体"/>
          <w:kern w:val="2"/>
          <w:sz w:val="21"/>
          <w:szCs w:val="21"/>
          <w:u w:val="single"/>
          <w:lang w:val="en-US" w:eastAsia="zh-CN" w:bidi="ar"/>
        </w:rPr>
        <w:t xml:space="preserve">项目名称） </w:t>
      </w:r>
      <w:r>
        <w:rPr>
          <w:rFonts w:hint="eastAsia" w:ascii="宋体" w:hAnsi="宋体" w:eastAsia="宋体" w:cs="宋体"/>
          <w:kern w:val="2"/>
          <w:sz w:val="21"/>
          <w:szCs w:val="21"/>
          <w:lang w:val="en-US" w:eastAsia="zh-CN" w:bidi="ar"/>
        </w:rPr>
        <w:t>施工合同文件，自觉按合同办事。</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（三）双方的施工业务活动必须坚持科学、公正、诚信、平等的原则，不得损害国家、集体的利益，不得违反工程建设管理规章制度。</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（四）发现对方在施工业务活动中，有违反有关规定的行为，有及时提醒对方纠正的权利和义务。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（五）发现对方严重违反施工合同文件的行为，有向其上级有关部门举报，建议给予处理并要求告知处理结果的权利。</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第三条  甲方的义务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（一）甲方向乙方及时提供有关资料（包括技术规范、工程量清单、施工图等）。</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（二）甲方向乙方及时提供建设用地，及时解决对工程占地范围以内尚未拆迁的建筑物及其他障碍物。</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（三）甲方不得指使乙方不按法律、法规、工程建设强制性标准和施工规范进行工程的施工活动。</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（四）甲方须按施工合同的约定支付工程款，除施工合同的约定外，甲方不得以任何借口克扣工程款或拖延工程款的支付。</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（五）甲方不得明示或暗示向乙方推荐单位或个人承包或分包本工程项目的施工任务。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（六）甲方不得以任何理由索取回扣或其它好处。</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第四条  乙方的义务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（一）乙方应具备与本工程项目相应等级的施工资质证书。</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（二）乙方不得允许其它单位或个人以乙方的名义承揽本工程项目的施工任务，不得转包或违法分包所承揽的本工程的项目施工任务。</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（三）乙方必须严格履行施工合同，按投标承诺的施工技术人员及时到位。施工技术人员原则上不得擅自调换，如有特殊原因确需调换的，须经发包人书面同意方能换人。</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四）乙方必须委托符合相关资质的试验检测单位或建立工地临时试验室，按要求配合相应的试验检测人员和设备，并取得工地临时试验室资质证书。按有关规定做好各类试验，试验资料应真实、完整，统一归档。</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（五）乙方必须按照工程设计图纸和施工技术规范施工，不得擅自修改工程设计，不得偷工减料。</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（六）乙方在施工过程中发现设计文件和图纸有差错的，应当及时提出意见和建议。</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（七）乙方与甲方、承包人或指定分包人之间有关工程质量、进度和费用的一切往来函件、报表均应分类编号归档保存；施工技术资料应真实、完整。</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（八）乙方应加强对甲方按合同规定采购的材料和设备的检验，对检验不合格的产品，乙方应拒绝使用。</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（九）乙方不得暗示材料、设备供应单位提供使用不合格或质量低劣的材料、设备。</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第五条  违约责任</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（一）甲方及其工作人员违反本合同第二、三条，按管理权限，依据国务院《建设工程质量管理条例》有关规定给予相应的处罚；涉嫌犯罪的，依法追究刑事责任；给乙方单位造成经济损失的，应予以赔偿。</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（二）乙方及其工作人员违反本合同第二、四条，按管理权限，依据国务院《建设工程质量管理条例》有关规定给予相应的处罚；涉嫌犯罪的，依法追究刑事责任；给甲方单位造成经济损失的，应予以赔偿。</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4"/>
          <w:kern w:val="2"/>
          <w:sz w:val="21"/>
          <w:szCs w:val="21"/>
        </w:rPr>
      </w:pPr>
      <w:r>
        <w:rPr>
          <w:rFonts w:hint="eastAsia" w:ascii="宋体" w:hAnsi="宋体" w:eastAsia="宋体" w:cs="宋体"/>
          <w:kern w:val="2"/>
          <w:sz w:val="21"/>
          <w:szCs w:val="21"/>
          <w:lang w:val="en-US" w:eastAsia="zh-CN" w:bidi="ar"/>
        </w:rPr>
        <w:t>第六条  本</w:t>
      </w:r>
      <w:r>
        <w:rPr>
          <w:rFonts w:hint="eastAsia" w:ascii="宋体" w:hAnsi="宋体" w:eastAsia="宋体" w:cs="宋体"/>
          <w:spacing w:val="-4"/>
          <w:kern w:val="2"/>
          <w:sz w:val="21"/>
          <w:szCs w:val="21"/>
          <w:lang w:val="en-US" w:eastAsia="zh-CN" w:bidi="ar"/>
        </w:rPr>
        <w:t>合同有效期为甲乙双方自签署之日起至该工程项目设计使用年限之日止。</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第七条  本合同作为</w:t>
      </w:r>
      <w:r>
        <w:rPr>
          <w:rFonts w:hint="eastAsia" w:ascii="宋体" w:hAnsi="宋体" w:eastAsia="宋体" w:cs="宋体"/>
          <w:spacing w:val="-2"/>
          <w:kern w:val="2"/>
          <w:sz w:val="21"/>
          <w:szCs w:val="21"/>
          <w:u w:val="single"/>
          <w:lang w:val="en-US" w:eastAsia="zh-CN" w:bidi="ar"/>
        </w:rPr>
        <w:t>（</w:t>
      </w:r>
      <w:r>
        <w:rPr>
          <w:rFonts w:hint="eastAsia" w:ascii="宋体" w:hAnsi="宋体" w:eastAsia="宋体" w:cs="宋体"/>
          <w:kern w:val="2"/>
          <w:sz w:val="21"/>
          <w:szCs w:val="21"/>
          <w:u w:val="single"/>
          <w:lang w:val="en-US" w:eastAsia="zh-CN" w:bidi="ar"/>
        </w:rPr>
        <w:t xml:space="preserve">项目名称） </w:t>
      </w:r>
      <w:r>
        <w:rPr>
          <w:rFonts w:hint="eastAsia" w:ascii="宋体" w:hAnsi="宋体" w:eastAsia="宋体" w:cs="宋体"/>
          <w:kern w:val="2"/>
          <w:sz w:val="21"/>
          <w:szCs w:val="21"/>
          <w:lang w:val="en-US" w:eastAsia="zh-CN" w:bidi="ar"/>
        </w:rPr>
        <w:t>施工合同附件，与工程施工合同具有同等的法律效力，经合同双方签署后立即生效。</w:t>
      </w:r>
    </w:p>
    <w:p>
      <w:pPr>
        <w:keepNext w:val="0"/>
        <w:keepLines w:val="0"/>
        <w:widowControl w:val="0"/>
        <w:suppressLineNumbers w:val="0"/>
        <w:wordWrap w:val="0"/>
        <w:spacing w:before="0" w:beforeAutospacing="0" w:after="0" w:afterAutospacing="0" w:line="400" w:lineRule="exact"/>
        <w:ind w:left="0" w:right="0" w:firstLine="480"/>
        <w:jc w:val="both"/>
        <w:rPr>
          <w:rFonts w:hint="eastAsia" w:ascii="宋体" w:hAnsi="宋体" w:eastAsia="宋体" w:cs="宋体"/>
          <w:spacing w:val="-6"/>
          <w:kern w:val="2"/>
          <w:sz w:val="21"/>
          <w:szCs w:val="21"/>
        </w:rPr>
      </w:pPr>
      <w:r>
        <w:rPr>
          <w:rFonts w:hint="eastAsia" w:ascii="宋体" w:hAnsi="宋体" w:eastAsia="宋体" w:cs="宋体"/>
          <w:kern w:val="2"/>
          <w:sz w:val="21"/>
          <w:szCs w:val="21"/>
          <w:lang w:val="en-US" w:eastAsia="zh-CN" w:bidi="ar"/>
        </w:rPr>
        <w:t>第八条  本合同正本二份、副本</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份，合同双方各执正本一份，副本</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份，当正本与副本的内容不一致时，以正本为准。</w:t>
      </w:r>
    </w:p>
    <w:p>
      <w:pPr>
        <w:keepNext w:val="0"/>
        <w:keepLines w:val="0"/>
        <w:widowControl w:val="0"/>
        <w:suppressLineNumbers w:val="0"/>
        <w:wordWrap w:val="0"/>
        <w:spacing w:before="0" w:beforeAutospacing="0" w:after="0" w:afterAutospacing="0" w:line="400" w:lineRule="exact"/>
        <w:ind w:left="0" w:right="0"/>
        <w:jc w:val="both"/>
        <w:rPr>
          <w:rFonts w:hint="eastAsia" w:ascii="宋体" w:hAnsi="宋体" w:eastAsia="宋体" w:cs="宋体"/>
          <w:spacing w:val="-6"/>
          <w:kern w:val="2"/>
          <w:sz w:val="21"/>
          <w:szCs w:val="21"/>
        </w:rPr>
      </w:pPr>
      <w:r>
        <w:rPr>
          <w:rFonts w:hint="eastAsia" w:ascii="宋体" w:hAnsi="宋体" w:eastAsia="宋体" w:cs="宋体"/>
          <w:spacing w:val="-6"/>
          <w:kern w:val="2"/>
          <w:sz w:val="21"/>
          <w:szCs w:val="21"/>
          <w:lang w:val="en-US" w:eastAsia="zh-CN" w:bidi="ar"/>
        </w:rPr>
        <w:t xml:space="preserve"> </w:t>
      </w:r>
    </w:p>
    <w:p>
      <w:pPr>
        <w:keepNext w:val="0"/>
        <w:keepLines w:val="0"/>
        <w:widowControl w:val="0"/>
        <w:suppressLineNumbers w:val="0"/>
        <w:wordWrap w:val="0"/>
        <w:spacing w:before="0" w:beforeAutospacing="0" w:after="0" w:afterAutospacing="0" w:line="400" w:lineRule="exact"/>
        <w:ind w:left="0" w:right="0"/>
        <w:jc w:val="both"/>
        <w:rPr>
          <w:rFonts w:hint="eastAsia" w:ascii="宋体" w:hAnsi="宋体" w:eastAsia="宋体" w:cs="宋体"/>
          <w:spacing w:val="-6"/>
          <w:kern w:val="2"/>
          <w:sz w:val="21"/>
          <w:szCs w:val="21"/>
        </w:rPr>
      </w:pPr>
      <w:r>
        <w:rPr>
          <w:rFonts w:hint="eastAsia" w:ascii="宋体" w:hAnsi="宋体" w:eastAsia="宋体" w:cs="宋体"/>
          <w:spacing w:val="-6"/>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（盖单位章）     承包人：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（盖单位章）</w:t>
      </w:r>
    </w:p>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法定代表人                                法定代表人</w:t>
      </w:r>
    </w:p>
    <w:p>
      <w:pPr>
        <w:keepNext w:val="0"/>
        <w:keepLines w:val="0"/>
        <w:widowControl w:val="0"/>
        <w:suppressLineNumbers w:val="0"/>
        <w:snapToGrid w:val="0"/>
        <w:spacing w:before="0" w:beforeAutospacing="0" w:after="0" w:afterAutospacing="0" w:line="4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或其委托代理人：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     或其委托代理人：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w:t>
      </w:r>
    </w:p>
    <w:p>
      <w:pPr>
        <w:keepNext w:val="0"/>
        <w:keepLines w:val="0"/>
        <w:widowControl w:val="0"/>
        <w:suppressLineNumbers w:val="0"/>
        <w:snapToGrid w:val="0"/>
        <w:spacing w:before="0" w:beforeAutospacing="0" w:after="0" w:afterAutospacing="0" w:line="400" w:lineRule="exact"/>
        <w:ind w:left="0" w:right="0" w:firstLine="1260" w:firstLineChars="600"/>
        <w:jc w:val="both"/>
        <w:rPr>
          <w:rFonts w:hint="eastAsia" w:ascii="宋体" w:hAnsi="宋体" w:eastAsia="宋体" w:cs="宋体"/>
          <w:kern w:val="2"/>
          <w:sz w:val="21"/>
          <w:szCs w:val="21"/>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日                    </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jc w:val="both"/>
        <w:outlineLvl w:val="1"/>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br w:type="page"/>
      </w:r>
      <w:r>
        <w:rPr>
          <w:rFonts w:hint="eastAsia" w:ascii="宋体" w:hAnsi="宋体" w:eastAsia="宋体" w:cs="宋体"/>
          <w:kern w:val="2"/>
          <w:sz w:val="21"/>
          <w:szCs w:val="21"/>
          <w:lang w:val="en-US" w:eastAsia="zh-CN" w:bidi="ar"/>
        </w:rPr>
        <w:t>附件七  工程资金监管协议格式</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(发包人与承包人签订合同协议书时应与发包人指定的银行签署工程资金监管协议，工程资金监管协议内容在保证本项目资金有效监管的前提下由三方共同商定)</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工程资金监管协议</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 包 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(以下简称“甲方”)</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承 包 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(以下简称“乙方”)</w:t>
      </w:r>
    </w:p>
    <w:p>
      <w:pPr>
        <w:keepNext w:val="0"/>
        <w:keepLines w:val="0"/>
        <w:widowControl w:val="0"/>
        <w:suppressLineNumbers w:val="0"/>
        <w:spacing w:before="0" w:beforeAutospacing="0" w:after="0" w:afterAutospacing="0" w:line="42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经办银行：</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(以下简称“丙方”)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为了促进</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(项目名称)的顺利实施，管好用好建设资金，确保工程资金专款专用，同时为承包人提供便捷有效的银行业务服务，根据</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(项目名称)合同条款有关规定，经甲、乙、丙三方协商，达成协议如下：</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1.资金管理的内容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(1)乙方为完成</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(项目名称)工程成立的项目经理部在丙方开设基本结算户；</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(2)甲方应按合同规定将工程款(质量保证金除外)汇入乙方在丙方开设的账户；</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(3)乙方应将流动资金及甲方所拨付资金专项用于</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(项目名称)；</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(4)丙方应为乙方提供便捷有效的银行业务服务，并接受甲方委托对乙方在丙方开设的基本结算户资金使用情况进行监督。</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2.甲方的权责</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(1)按照</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(项目名称)合同有关条款规定的时间和方式，向乙方支付工程款；</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(2)在发现乙方将本项目资金挪用、转移时，甲方有权中止工程支付，直至乙方改正为止；</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(3)不定期审查丙方对乙方的资金使用监督情况，如丙方不能履行其责任，甲方有权随时终止本协议；</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(4)在乙、丙双方发生争议时，甲方应负责协调、解决。</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3.乙方的权责</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(1)项目经理部成立以后，乙方应尽快在丙方开设基本结算户；</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(2)确保本项目资金专款专用，不发生挪用、转移资金的现象；保证不通过权益转让、抵押、担保承担债务等任何其他方式使用基本结算户的资金；</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(3)办理材料、设备等采购业务金额在</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万元以上的，应出示购货合同、协议和发票；在办理总额超过</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万元以上的采购业务时，应将合同、协议和发票复印件送丙方备案；购买应急材料、设备时可先办理支付手续，但事后必须补备有关资料；</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(4)用银行转账支票办理支付款项时，必须将转账支票送交丙方，由丙方负责办理支票转付手续；</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(5)向分包单位支付工程进度款时，应附甲方批准分包的文件；</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(6)向上级单位缴纳管理费、机械设备及周转材料租赁摊销费等款项时，应附上级单位出具的转账通知等有关资料，以确保资金专款专用。</w:t>
      </w:r>
    </w:p>
    <w:p>
      <w:pPr>
        <w:keepNext w:val="0"/>
        <w:keepLines w:val="0"/>
        <w:widowControl w:val="0"/>
        <w:suppressLineNumbers w:val="0"/>
        <w:spacing w:before="0" w:beforeAutospacing="0" w:after="0" w:afterAutospacing="0" w:line="420" w:lineRule="exact"/>
        <w:ind w:left="0" w:right="0" w:firstLine="420" w:firstLineChars="200"/>
        <w:jc w:val="both"/>
        <w:outlineLvl w:val="0"/>
        <w:rPr>
          <w:rFonts w:hint="eastAsia" w:ascii="宋体" w:hAnsi="宋体" w:eastAsia="宋体" w:cs="宋体"/>
          <w:kern w:val="2"/>
          <w:sz w:val="21"/>
          <w:szCs w:val="21"/>
        </w:rPr>
      </w:pPr>
      <w:bookmarkStart w:id="2710" w:name="_Toc29839"/>
      <w:bookmarkEnd w:id="2710"/>
      <w:bookmarkStart w:id="2711" w:name="_Toc8911"/>
      <w:bookmarkEnd w:id="2711"/>
      <w:bookmarkStart w:id="2712" w:name="_Toc22218"/>
      <w:bookmarkEnd w:id="2712"/>
      <w:bookmarkStart w:id="2713" w:name="_Toc3776"/>
      <w:bookmarkEnd w:id="2713"/>
      <w:bookmarkStart w:id="2714" w:name="_Toc28078"/>
      <w:bookmarkEnd w:id="2714"/>
      <w:bookmarkStart w:id="2715" w:name="_Toc1182"/>
      <w:bookmarkEnd w:id="2715"/>
      <w:bookmarkStart w:id="2716" w:name="_Toc4540"/>
      <w:bookmarkEnd w:id="2716"/>
      <w:bookmarkStart w:id="2717" w:name="_Toc29387"/>
      <w:bookmarkEnd w:id="2717"/>
      <w:bookmarkStart w:id="2718" w:name="_Toc15010"/>
      <w:r>
        <w:rPr>
          <w:rFonts w:hint="eastAsia" w:ascii="宋体" w:hAnsi="宋体" w:eastAsia="宋体" w:cs="宋体"/>
          <w:kern w:val="2"/>
          <w:sz w:val="21"/>
          <w:szCs w:val="21"/>
          <w:lang w:val="en-US" w:eastAsia="zh-CN" w:bidi="ar"/>
        </w:rPr>
        <w:t>4.丙方的权责</w:t>
      </w:r>
      <w:bookmarkEnd w:id="2718"/>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(1)成立</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(项目名称)工程资金管理服务小组，明确业务流程，提高工作效率，杜绝“压票”现象；</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(2)根据乙方提供的购货合同、协议和发票，检查其所购材料、设备是否用于(项目名称)工程建设，对本标段以外的购货款项，有权拒绝办理，并及时报告甲方；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(3)根据乙方与分包单位签订的合同及支付文件，检查其支付款项是否符合有关条件，向分包单位以外单位的支付有权拒绝办理，并及时报告甲方；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(4)根据乙方提供的上级单位出具的转账通知等有关资料，办理管理费、机械设备及周转材料租赁摊销费等款项的支付；对超出转账通知等有关资料以外的支付，有权拒绝办理，并及时报告甲方；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(5)定期将乙方前一个周期的支付情况，整理后书面报送甲方；乙方复印备案的材料一并送甲方。</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5.甲、乙、丙三方都应履行保密责任，不得将其他两方的业务情况透露给三方以外的其他单位或个人。</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6.本协议有效期自乙方在丙方开户起，至工程交工验收甲方向乙方颁发交工验收证书后结束。</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7.本协议未尽事宜，由甲方牵头，三方协商解决。</w:t>
      </w:r>
    </w:p>
    <w:p>
      <w:pPr>
        <w:keepNext w:val="0"/>
        <w:keepLines w:val="0"/>
        <w:widowControl w:val="0"/>
        <w:suppressLineNumbers w:val="0"/>
        <w:spacing w:before="0" w:beforeAutospacing="0" w:after="0" w:afterAutospacing="0" w:line="42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8.本协议正本三份、副本</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份。合同三方各执正本一份、副本</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份，当正本与副本内容不一致时，以正本为准。</w:t>
      </w:r>
    </w:p>
    <w:p>
      <w:pPr>
        <w:keepNext w:val="0"/>
        <w:keepLines w:val="0"/>
        <w:widowControl w:val="0"/>
        <w:suppressLineNumbers w:val="0"/>
        <w:spacing w:before="120" w:beforeLines="50" w:beforeAutospacing="0" w:after="0" w:afterAutospacing="0" w:line="44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120" w:beforeLines="50" w:beforeAutospacing="0" w:after="0" w:afterAutospacing="0" w:line="44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(盖单位章)</w:t>
      </w:r>
    </w:p>
    <w:p>
      <w:pPr>
        <w:keepNext w:val="0"/>
        <w:keepLines w:val="0"/>
        <w:widowControl w:val="0"/>
        <w:suppressLineNumbers w:val="0"/>
        <w:spacing w:before="0" w:beforeAutospacing="0" w:after="0" w:afterAutospacing="0" w:line="44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法定代表人或其委托代理人：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w:t>
      </w:r>
    </w:p>
    <w:p>
      <w:pPr>
        <w:keepNext w:val="0"/>
        <w:keepLines w:val="0"/>
        <w:widowControl w:val="0"/>
        <w:suppressLineNumbers w:val="0"/>
        <w:spacing w:before="0" w:beforeAutospacing="0" w:after="0" w:afterAutospacing="0" w:line="440" w:lineRule="exact"/>
        <w:ind w:left="0" w:right="0" w:firstLine="2310" w:firstLineChars="1100"/>
        <w:jc w:val="right"/>
        <w:rPr>
          <w:rFonts w:hint="eastAsia" w:ascii="宋体" w:hAnsi="宋体" w:eastAsia="宋体" w:cs="宋体"/>
          <w:kern w:val="2"/>
          <w:sz w:val="21"/>
          <w:szCs w:val="21"/>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承包人：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(盖单位章)</w:t>
      </w:r>
    </w:p>
    <w:p>
      <w:pPr>
        <w:keepNext w:val="0"/>
        <w:keepLines w:val="0"/>
        <w:widowControl w:val="0"/>
        <w:suppressLineNumbers w:val="0"/>
        <w:spacing w:before="0" w:beforeAutospacing="0" w:after="0" w:afterAutospacing="0" w:line="42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法定代表人或其委托代理人：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w:t>
      </w:r>
    </w:p>
    <w:p>
      <w:pPr>
        <w:keepNext w:val="0"/>
        <w:keepLines w:val="0"/>
        <w:widowControl w:val="0"/>
        <w:suppressLineNumbers w:val="0"/>
        <w:spacing w:before="0" w:beforeAutospacing="0" w:after="0" w:afterAutospacing="0" w:line="420" w:lineRule="exact"/>
        <w:ind w:left="0" w:right="0" w:firstLine="2310" w:firstLineChars="1100"/>
        <w:jc w:val="right"/>
        <w:rPr>
          <w:rFonts w:hint="eastAsia" w:ascii="宋体" w:hAnsi="宋体" w:eastAsia="宋体" w:cs="宋体"/>
          <w:kern w:val="2"/>
          <w:sz w:val="21"/>
          <w:szCs w:val="21"/>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日</w:t>
      </w:r>
    </w:p>
    <w:p>
      <w:pPr>
        <w:keepNext w:val="0"/>
        <w:keepLines w:val="0"/>
        <w:widowControl w:val="0"/>
        <w:suppressLineNumbers w:val="0"/>
        <w:spacing w:before="0" w:beforeAutospacing="0" w:after="0" w:afterAutospacing="0" w:line="42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经办银行：</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(盖单位章)</w:t>
      </w:r>
    </w:p>
    <w:p>
      <w:pPr>
        <w:keepNext w:val="0"/>
        <w:keepLines w:val="0"/>
        <w:widowControl w:val="0"/>
        <w:suppressLineNumbers w:val="0"/>
        <w:spacing w:before="0" w:beforeAutospacing="0" w:after="0" w:afterAutospacing="0" w:line="420" w:lineRule="exact"/>
        <w:ind w:left="0" w:right="0"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法定代表人或其委托代理人：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w:t>
      </w:r>
    </w:p>
    <w:p>
      <w:pPr>
        <w:keepNext w:val="0"/>
        <w:keepLines w:val="0"/>
        <w:widowControl w:val="0"/>
        <w:suppressLineNumbers w:val="0"/>
        <w:spacing w:before="0" w:beforeAutospacing="0" w:after="0" w:afterAutospacing="0" w:line="420" w:lineRule="exact"/>
        <w:ind w:left="0" w:right="0" w:firstLine="2310" w:firstLineChars="1100"/>
        <w:jc w:val="right"/>
        <w:rPr>
          <w:rFonts w:hint="eastAsia" w:ascii="宋体" w:hAnsi="宋体" w:eastAsia="宋体" w:cs="宋体"/>
          <w:kern w:val="2"/>
          <w:sz w:val="21"/>
          <w:szCs w:val="21"/>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月</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日</w:t>
      </w:r>
    </w:p>
    <w:p>
      <w:pPr>
        <w:pStyle w:val="35"/>
        <w:ind w:firstLine="420" w:firstLineChars="200"/>
        <w:rPr>
          <w:rFonts w:hint="eastAsia" w:ascii="宋体" w:hAnsi="宋体" w:eastAsia="宋体" w:cs="宋体"/>
          <w:b/>
          <w:bCs/>
          <w:color w:val="auto"/>
          <w:sz w:val="30"/>
          <w:szCs w:val="30"/>
        </w:rPr>
      </w:pPr>
      <w:r>
        <w:rPr>
          <w:rFonts w:hint="eastAsia" w:ascii="宋体" w:hAnsi="宋体" w:eastAsia="宋体" w:cs="宋体"/>
          <w:kern w:val="2"/>
          <w:sz w:val="21"/>
          <w:szCs w:val="21"/>
          <w:lang w:val="en-US" w:eastAsia="zh-CN" w:bidi="ar"/>
        </w:rPr>
        <w:br w:type="page"/>
      </w:r>
      <w:bookmarkStart w:id="2719" w:name="_Toc519182687"/>
      <w:bookmarkEnd w:id="2719"/>
      <w:bookmarkStart w:id="2720" w:name="_Toc15706"/>
      <w:bookmarkEnd w:id="2720"/>
      <w:bookmarkStart w:id="2721" w:name="_Toc518403991"/>
      <w:bookmarkEnd w:id="2721"/>
      <w:bookmarkStart w:id="2722" w:name="_Toc9391"/>
      <w:bookmarkEnd w:id="2722"/>
      <w:bookmarkStart w:id="2723" w:name="_Toc23696"/>
      <w:bookmarkEnd w:id="2723"/>
    </w:p>
    <w:p>
      <w:pPr>
        <w:spacing w:line="400" w:lineRule="exact"/>
        <w:ind w:firstLine="2711" w:firstLineChars="900"/>
        <w:jc w:val="both"/>
        <w:rPr>
          <w:rFonts w:hint="eastAsia" w:ascii="宋体" w:hAnsi="宋体" w:eastAsia="宋体" w:cs="宋体"/>
          <w:b/>
          <w:bCs/>
          <w:color w:val="auto"/>
          <w:sz w:val="24"/>
          <w:szCs w:val="24"/>
        </w:rPr>
      </w:pPr>
      <w:r>
        <w:rPr>
          <w:rFonts w:hint="eastAsia" w:ascii="宋体" w:hAnsi="宋体" w:eastAsia="宋体" w:cs="宋体"/>
          <w:b/>
          <w:bCs/>
          <w:color w:val="auto"/>
          <w:sz w:val="30"/>
          <w:szCs w:val="30"/>
        </w:rPr>
        <w:t>第六</w:t>
      </w:r>
      <w:r>
        <w:rPr>
          <w:rFonts w:hint="eastAsia" w:ascii="宋体" w:hAnsi="宋体" w:eastAsia="宋体" w:cs="宋体"/>
          <w:b/>
          <w:bCs/>
          <w:color w:val="auto"/>
          <w:sz w:val="30"/>
          <w:szCs w:val="30"/>
          <w:lang w:eastAsia="zh-CN"/>
        </w:rPr>
        <w:t>部分</w:t>
      </w:r>
      <w:r>
        <w:rPr>
          <w:rFonts w:hint="eastAsia" w:ascii="宋体" w:hAnsi="宋体" w:eastAsia="宋体" w:cs="宋体"/>
          <w:b/>
          <w:bCs/>
          <w:color w:val="auto"/>
          <w:sz w:val="30"/>
          <w:szCs w:val="30"/>
        </w:rPr>
        <w:t>　磋商响应文件格式</w:t>
      </w:r>
      <w:bookmarkEnd w:id="61"/>
      <w:bookmarkEnd w:id="62"/>
      <w:bookmarkStart w:id="2724" w:name="_Toc205087903"/>
      <w:bookmarkStart w:id="2725" w:name="_Toc205087913"/>
      <w:bookmarkStart w:id="2726" w:name="_Toc199314553"/>
      <w:bookmarkStart w:id="2727" w:name="_Toc194223719"/>
      <w:bookmarkStart w:id="2728" w:name="_Toc240724400"/>
      <w:bookmarkStart w:id="2729" w:name="_Toc199314545"/>
      <w:bookmarkStart w:id="2730" w:name="_Toc295986635"/>
    </w:p>
    <w:p>
      <w:pPr>
        <w:pStyle w:val="10"/>
        <w:adjustRightInd w:val="0"/>
        <w:snapToGrid w:val="0"/>
        <w:spacing w:before="120" w:after="120"/>
        <w:rPr>
          <w:rFonts w:hint="eastAsia" w:ascii="宋体" w:hAnsi="宋体" w:eastAsia="宋体" w:cs="宋体"/>
          <w:b/>
          <w:bCs/>
          <w:color w:val="auto"/>
          <w:sz w:val="24"/>
          <w:szCs w:val="24"/>
        </w:rPr>
      </w:pPr>
    </w:p>
    <w:p>
      <w:pPr>
        <w:pStyle w:val="10"/>
        <w:adjustRightInd w:val="0"/>
        <w:snapToGrid w:val="0"/>
        <w:spacing w:before="120" w:after="120"/>
        <w:rPr>
          <w:rFonts w:hint="eastAsia" w:ascii="宋体" w:hAnsi="宋体" w:eastAsia="宋体" w:cs="宋体"/>
          <w:b/>
          <w:bCs/>
          <w:color w:val="auto"/>
          <w:sz w:val="24"/>
          <w:szCs w:val="24"/>
        </w:rPr>
      </w:pPr>
    </w:p>
    <w:p>
      <w:pPr>
        <w:pStyle w:val="3"/>
        <w:pageBreakBefore w:val="0"/>
        <w:widowControl w:val="0"/>
        <w:kinsoku/>
        <w:wordWrap/>
        <w:overflowPunct/>
        <w:topLinePunct w:val="0"/>
        <w:autoSpaceDE/>
        <w:autoSpaceDN/>
        <w:bidi w:val="0"/>
        <w:adjustRightInd/>
        <w:snapToGrid/>
        <w:spacing w:before="312" w:beforeLines="100" w:after="0" w:line="360" w:lineRule="auto"/>
        <w:jc w:val="center"/>
        <w:textAlignment w:val="auto"/>
        <w:rPr>
          <w:rFonts w:ascii="宋体" w:hAnsi="宋体" w:eastAsia="宋体"/>
          <w:bCs w:val="0"/>
          <w:color w:val="auto"/>
          <w:lang w:val="zh-CN"/>
        </w:rPr>
      </w:pPr>
      <w:bookmarkStart w:id="2731" w:name="_Toc528578413"/>
      <w:bookmarkStart w:id="2732" w:name="_Toc528927455"/>
      <w:r>
        <w:rPr>
          <w:rFonts w:hint="eastAsia" w:ascii="宋体" w:hAnsi="宋体" w:eastAsia="宋体"/>
          <w:bCs w:val="0"/>
          <w:color w:val="auto"/>
          <w:lang w:val="zh-CN"/>
        </w:rPr>
        <w:t>1、资格证明文件格式</w:t>
      </w:r>
      <w:bookmarkEnd w:id="2731"/>
      <w:bookmarkEnd w:id="2732"/>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32"/>
          <w:szCs w:val="32"/>
        </w:rPr>
      </w:pPr>
      <w:r>
        <w:rPr>
          <w:rFonts w:hint="eastAsia" w:ascii="宋体" w:hAnsi="宋体"/>
          <w:b/>
          <w:bCs/>
          <w:color w:val="auto"/>
          <w:sz w:val="32"/>
          <w:szCs w:val="32"/>
        </w:rPr>
        <w:t>目  录</w:t>
      </w:r>
    </w:p>
    <w:p>
      <w:pPr>
        <w:pStyle w:val="10"/>
        <w:adjustRightInd w:val="0"/>
        <w:snapToGrid w:val="0"/>
        <w:spacing w:before="120" w:after="120"/>
        <w:ind w:firstLine="1200" w:firstLineChars="500"/>
        <w:rPr>
          <w:rFonts w:hint="eastAsia" w:ascii="宋体" w:hAnsi="宋体" w:eastAsia="宋体" w:cs="宋体"/>
          <w:b/>
          <w:bCs/>
          <w:color w:val="auto"/>
          <w:sz w:val="24"/>
          <w:szCs w:val="24"/>
        </w:rPr>
      </w:pPr>
      <w:r>
        <w:rPr>
          <w:rFonts w:hint="eastAsia" w:ascii="宋体" w:hAnsi="宋体"/>
          <w:color w:val="auto"/>
          <w:sz w:val="24"/>
        </w:rPr>
        <w:t>（按照“第三</w:t>
      </w:r>
      <w:r>
        <w:rPr>
          <w:rFonts w:hint="eastAsia" w:ascii="宋体" w:hAnsi="宋体"/>
          <w:color w:val="auto"/>
          <w:sz w:val="24"/>
          <w:lang w:eastAsia="zh-CN"/>
        </w:rPr>
        <w:t>部分</w:t>
      </w:r>
      <w:r>
        <w:rPr>
          <w:rFonts w:hint="eastAsia" w:ascii="宋体" w:hAnsi="宋体"/>
          <w:color w:val="auto"/>
          <w:sz w:val="24"/>
        </w:rPr>
        <w:t xml:space="preserve"> 磋商须知”有关资格证明文件组成要求编排）</w:t>
      </w:r>
    </w:p>
    <w:p>
      <w:pPr>
        <w:pStyle w:val="10"/>
        <w:adjustRightInd w:val="0"/>
        <w:snapToGrid w:val="0"/>
        <w:spacing w:before="120" w:after="120"/>
        <w:rPr>
          <w:rFonts w:hint="eastAsia" w:ascii="宋体" w:hAnsi="宋体" w:eastAsia="宋体" w:cs="宋体"/>
          <w:b/>
          <w:bCs/>
          <w:color w:val="auto"/>
          <w:sz w:val="24"/>
          <w:szCs w:val="24"/>
        </w:rPr>
      </w:pPr>
    </w:p>
    <w:p>
      <w:pPr>
        <w:pStyle w:val="10"/>
        <w:adjustRightInd w:val="0"/>
        <w:snapToGrid w:val="0"/>
        <w:spacing w:before="120" w:after="120"/>
        <w:rPr>
          <w:rFonts w:hint="eastAsia" w:ascii="宋体" w:hAnsi="宋体" w:eastAsia="宋体" w:cs="宋体"/>
          <w:b/>
          <w:bCs/>
          <w:color w:val="auto"/>
          <w:sz w:val="24"/>
          <w:szCs w:val="24"/>
        </w:rPr>
      </w:pPr>
    </w:p>
    <w:p>
      <w:pPr>
        <w:pStyle w:val="11"/>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22"/>
        <w:rPr>
          <w:rFonts w:hint="eastAsia" w:ascii="宋体" w:hAnsi="宋体" w:eastAsia="宋体" w:cs="宋体"/>
          <w:b/>
          <w:bCs/>
          <w:color w:val="auto"/>
          <w:sz w:val="24"/>
          <w:szCs w:val="24"/>
        </w:rPr>
      </w:pPr>
    </w:p>
    <w:p>
      <w:pPr>
        <w:pStyle w:val="10"/>
        <w:adjustRightInd w:val="0"/>
        <w:snapToGrid w:val="0"/>
        <w:spacing w:before="120" w:after="120"/>
        <w:rPr>
          <w:rFonts w:hint="eastAsia" w:ascii="宋体" w:hAnsi="宋体" w:eastAsia="宋体" w:cs="宋体"/>
          <w:b/>
          <w:bCs/>
          <w:color w:val="auto"/>
          <w:sz w:val="24"/>
          <w:szCs w:val="24"/>
        </w:rPr>
      </w:pPr>
    </w:p>
    <w:p>
      <w:pPr>
        <w:pStyle w:val="11"/>
        <w:rPr>
          <w:rFonts w:hint="eastAsia"/>
          <w:color w:val="auto"/>
        </w:rPr>
      </w:pPr>
    </w:p>
    <w:p>
      <w:pPr>
        <w:pStyle w:val="10"/>
        <w:adjustRightInd w:val="0"/>
        <w:snapToGrid w:val="0"/>
        <w:spacing w:before="120" w:after="120"/>
        <w:rPr>
          <w:rFonts w:hint="eastAsia" w:ascii="宋体" w:hAnsi="宋体" w:eastAsia="宋体" w:cs="宋体"/>
          <w:b/>
          <w:bCs/>
          <w:color w:val="auto"/>
          <w:sz w:val="24"/>
          <w:szCs w:val="24"/>
        </w:rPr>
      </w:pPr>
    </w:p>
    <w:p>
      <w:pPr>
        <w:pStyle w:val="11"/>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1"/>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1"/>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1"/>
        <w:rPr>
          <w:rFonts w:hint="eastAsia" w:ascii="宋体" w:hAnsi="宋体" w:eastAsia="宋体" w:cs="宋体"/>
          <w:b/>
          <w:bCs/>
          <w:color w:val="auto"/>
          <w:sz w:val="24"/>
          <w:szCs w:val="24"/>
        </w:rPr>
      </w:pPr>
    </w:p>
    <w:p>
      <w:pPr>
        <w:rPr>
          <w:rFonts w:hint="eastAsia"/>
        </w:rPr>
      </w:pPr>
    </w:p>
    <w:p>
      <w:pPr>
        <w:pStyle w:val="21"/>
        <w:rPr>
          <w:rFonts w:hint="eastAsia" w:ascii="宋体" w:hAnsi="宋体" w:eastAsia="宋体" w:cs="宋体"/>
          <w:b/>
          <w:bCs/>
          <w:color w:val="auto"/>
          <w:sz w:val="24"/>
          <w:szCs w:val="24"/>
        </w:rPr>
      </w:pPr>
    </w:p>
    <w:p>
      <w:pPr>
        <w:rPr>
          <w:rFonts w:hint="eastAsia"/>
        </w:rPr>
      </w:pPr>
    </w:p>
    <w:p>
      <w:pPr>
        <w:pStyle w:val="10"/>
        <w:adjustRightInd w:val="0"/>
        <w:snapToGrid w:val="0"/>
        <w:spacing w:before="120" w:after="120"/>
        <w:rPr>
          <w:rFonts w:hint="eastAsia" w:ascii="宋体" w:hAnsi="宋体" w:eastAsia="宋体" w:cs="宋体"/>
          <w:b/>
          <w:bCs/>
          <w:color w:val="auto"/>
          <w:sz w:val="24"/>
          <w:szCs w:val="24"/>
        </w:rPr>
      </w:pPr>
    </w:p>
    <w:p>
      <w:pPr>
        <w:pStyle w:val="10"/>
        <w:adjustRightInd w:val="0"/>
        <w:snapToGrid w:val="0"/>
        <w:spacing w:before="120" w:after="120"/>
        <w:rPr>
          <w:rFonts w:hint="eastAsia" w:ascii="宋体" w:hAnsi="宋体" w:eastAsia="宋体" w:cs="宋体"/>
          <w:b/>
          <w:bCs/>
          <w:color w:val="auto"/>
          <w:sz w:val="24"/>
          <w:szCs w:val="24"/>
        </w:rPr>
      </w:pPr>
    </w:p>
    <w:p>
      <w:pPr>
        <w:pStyle w:val="10"/>
        <w:adjustRightInd w:val="0"/>
        <w:snapToGrid w:val="0"/>
        <w:spacing w:before="120" w:after="120"/>
        <w:rPr>
          <w:rFonts w:hint="eastAsia" w:ascii="宋体" w:hAnsi="宋体" w:eastAsia="宋体" w:cs="宋体"/>
          <w:color w:val="auto"/>
          <w:sz w:val="24"/>
          <w:szCs w:val="24"/>
        </w:rPr>
      </w:pPr>
      <w:r>
        <w:rPr>
          <w:rFonts w:hint="eastAsia" w:ascii="宋体" w:hAnsi="宋体" w:eastAsia="宋体" w:cs="宋体"/>
          <w:b/>
          <w:bCs/>
          <w:color w:val="auto"/>
          <w:sz w:val="24"/>
          <w:szCs w:val="24"/>
        </w:rPr>
        <w:t>附件一：</w:t>
      </w:r>
      <w:r>
        <w:rPr>
          <w:rFonts w:hint="eastAsia" w:ascii="宋体" w:hAnsi="宋体" w:eastAsia="宋体" w:cs="宋体"/>
          <w:color w:val="auto"/>
          <w:sz w:val="24"/>
          <w:szCs w:val="24"/>
        </w:rPr>
        <w:t xml:space="preserve">                     </w:t>
      </w:r>
    </w:p>
    <w:p>
      <w:pPr>
        <w:pStyle w:val="10"/>
        <w:adjustRightInd w:val="0"/>
        <w:snapToGrid w:val="0"/>
        <w:spacing w:before="120" w:after="120"/>
        <w:jc w:val="center"/>
        <w:rPr>
          <w:rFonts w:hint="eastAsia" w:ascii="宋体" w:hAnsi="宋体" w:eastAsia="宋体" w:cs="宋体"/>
          <w:b/>
          <w:bCs/>
          <w:sz w:val="24"/>
          <w:szCs w:val="24"/>
        </w:rPr>
      </w:pPr>
      <w:r>
        <w:rPr>
          <w:rFonts w:hint="eastAsia" w:ascii="宋体" w:hAnsi="宋体" w:eastAsia="宋体" w:cs="宋体"/>
          <w:b/>
          <w:bCs/>
          <w:sz w:val="24"/>
          <w:szCs w:val="24"/>
        </w:rPr>
        <w:t>磋商声明书</w:t>
      </w:r>
    </w:p>
    <w:p>
      <w:pPr>
        <w:snapToGrid w:val="0"/>
        <w:spacing w:before="156" w:beforeLines="50" w:after="50" w:line="288" w:lineRule="auto"/>
        <w:ind w:firstLine="480" w:firstLineChars="200"/>
        <w:rPr>
          <w:rFonts w:hint="eastAsia" w:ascii="宋体" w:hAnsi="宋体" w:eastAsia="宋体" w:cs="宋体"/>
          <w:kern w:val="0"/>
          <w:sz w:val="24"/>
          <w:u w:val="single"/>
        </w:rPr>
      </w:pPr>
      <w:r>
        <w:rPr>
          <w:rFonts w:hint="eastAsia" w:ascii="宋体" w:hAnsi="宋体" w:eastAsia="宋体" w:cs="宋体"/>
          <w:kern w:val="0"/>
          <w:sz w:val="24"/>
          <w:u w:val="single"/>
          <w:lang w:eastAsia="zh-CN"/>
        </w:rPr>
        <w:t>浙江省成套招标代理有限公司</w:t>
      </w:r>
      <w:r>
        <w:rPr>
          <w:rFonts w:hint="eastAsia" w:ascii="宋体" w:hAnsi="宋体" w:eastAsia="宋体" w:cs="宋体"/>
          <w:kern w:val="0"/>
          <w:sz w:val="24"/>
          <w:u w:val="single"/>
        </w:rPr>
        <w:t>：</w:t>
      </w:r>
    </w:p>
    <w:p>
      <w:pPr>
        <w:pStyle w:val="10"/>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__________________________(磋商人全称)授权____________________ (全权代表姓名)____________________(职务、职称)为全权代表，参加贵方组织的______________ (采购编号、采购项目名称) 采购磋商的有关活动，并对此项目进行响应。为此：我方同意在磋商须知前列表规定的</w:t>
      </w:r>
      <w:r>
        <w:rPr>
          <w:rFonts w:hint="eastAsia"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日期起遵守本采购承诺函中的承诺且在</w:t>
      </w:r>
      <w:r>
        <w:rPr>
          <w:rFonts w:hint="eastAsia"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有效期满之前均具有约束力。</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1、我方承诺已经具备《中华人民共和国政府采购法》参加政府采购活动的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应当具备的条件：</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2、提供磋商须知规定的全部磋商响应文件，包括：</w:t>
      </w:r>
    </w:p>
    <w:p>
      <w:pPr>
        <w:pStyle w:val="9"/>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autoSpaceDN/>
        <w:bidi w:val="0"/>
        <w:snapToGrid/>
        <w:spacing w:line="400" w:lineRule="exact"/>
        <w:ind w:right="0" w:rightChars="0" w:firstLine="480" w:firstLineChars="200"/>
        <w:textAlignment w:val="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资格证明文件；</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商务与技术文件；</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报价文件；</w:t>
      </w:r>
    </w:p>
    <w:p>
      <w:pPr>
        <w:keepNext w:val="0"/>
        <w:keepLines w:val="0"/>
        <w:pageBreakBefore w:val="0"/>
        <w:widowControl w:val="0"/>
        <w:kinsoku/>
        <w:wordWrap/>
        <w:overflowPunct/>
        <w:topLinePunct w:val="0"/>
        <w:autoSpaceDE/>
        <w:autoSpaceDN/>
        <w:bidi w:val="0"/>
        <w:snapToGrid/>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磋商须知前列表要求的磋商人提交的全部文件；</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3、按竞争性磋商文件要求提供的服务报价详见磋商报价一览表。</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4、保证忠实地执行双方所签订的合同，并承担合同规定的责任和义务。</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5、保证遵守竞争性磋商文件中的其他有关条款。</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6、我们完全理解贵方不一定要接受最低报价。</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7、我方愿意向贵方提供真实完整的任何与该项目有关的数据、情况和技术资料。若贵方需要，我方愿意提供我方作出的一切承诺的证明材料。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8、我方已详细审核全部竞争性磋商文件，包括竞争性磋商的修改文件（如有的话）、参考资料及有关附件，确认无误。</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（一）提供虚假材料谋取中标、成交的；</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（二）采取不正当手段诋毁、排挤其他供应商的；</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（三）与采购人、其他供应商或者采购代理机构恶意串通的；</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（四）向采购人、采购代理机构行贿或者提供其他不正当利益的；</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（五）拒绝有关部门监督检查或者提供虚假情况的。</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供应商有前款第（一）至（五）项情形之一的，中标、成交无效。</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、我方的磋商响应文件</w:t>
      </w:r>
      <w:r>
        <w:rPr>
          <w:rFonts w:hint="eastAsia" w:ascii="Arial" w:hAnsi="Arial" w:cs="Arial"/>
          <w:color w:val="auto"/>
          <w:kern w:val="0"/>
          <w:sz w:val="24"/>
          <w:highlight w:val="none"/>
        </w:rPr>
        <w:t>在</w:t>
      </w:r>
      <w:r>
        <w:rPr>
          <w:rFonts w:hint="eastAsia" w:ascii="宋体" w:hAnsi="宋体"/>
          <w:color w:val="auto"/>
          <w:sz w:val="24"/>
          <w:highlight w:val="none"/>
        </w:rPr>
        <w:t>递交截止日起</w:t>
      </w:r>
      <w:r>
        <w:rPr>
          <w:rFonts w:hint="eastAsia" w:ascii="宋体" w:hAnsi="宋体" w:eastAsia="宋体" w:cs="宋体"/>
          <w:color w:val="auto"/>
          <w:sz w:val="24"/>
          <w:szCs w:val="24"/>
          <w:highlight w:val="none"/>
          <w:u w:val="single"/>
          <w:lang w:val="en-US" w:eastAsia="zh-CN"/>
        </w:rPr>
        <w:t xml:space="preserve">  90  </w:t>
      </w:r>
      <w:r>
        <w:rPr>
          <w:rFonts w:hint="eastAsia" w:ascii="宋体" w:hAnsi="宋体" w:eastAsia="宋体" w:cs="宋体"/>
          <w:color w:val="auto"/>
          <w:sz w:val="24"/>
          <w:szCs w:val="24"/>
          <w:highlight w:val="none"/>
        </w:rPr>
        <w:t>天内有效。</w:t>
      </w:r>
    </w:p>
    <w:p>
      <w:pPr>
        <w:keepNext w:val="0"/>
        <w:keepLines w:val="0"/>
        <w:pageBreakBefore w:val="0"/>
        <w:widowControl w:val="0"/>
        <w:kinsoku/>
        <w:wordWrap/>
        <w:overflowPunct/>
        <w:topLinePunct w:val="0"/>
        <w:autoSpaceDE/>
        <w:autoSpaceDN/>
        <w:bidi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与本次采购有关的一切往来通讯请寄：</w:t>
      </w:r>
    </w:p>
    <w:p>
      <w:pPr>
        <w:pStyle w:val="10"/>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     邮编：____________　</w:t>
      </w:r>
    </w:p>
    <w:p>
      <w:pPr>
        <w:snapToGrid w:val="0"/>
        <w:spacing w:before="156" w:beforeLines="50" w:after="50" w:line="288" w:lineRule="auto"/>
        <w:ind w:firstLine="480" w:firstLineChars="200"/>
        <w:rPr>
          <w:rFonts w:hint="eastAsia" w:ascii="宋体" w:hAnsi="宋体" w:eastAsia="宋体" w:cs="宋体"/>
          <w:sz w:val="24"/>
        </w:rPr>
      </w:pPr>
      <w:r>
        <w:rPr>
          <w:rFonts w:hint="eastAsia" w:ascii="宋体" w:hAnsi="宋体" w:eastAsia="宋体" w:cs="宋体"/>
          <w:color w:val="auto"/>
          <w:sz w:val="24"/>
          <w:szCs w:val="24"/>
          <w:highlight w:val="none"/>
        </w:rPr>
        <w:t>电话：__________________</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传真：____________</w:t>
      </w:r>
    </w:p>
    <w:p>
      <w:pPr>
        <w:adjustRightInd w:val="0"/>
        <w:snapToGrid w:val="0"/>
        <w:spacing w:line="360" w:lineRule="auto"/>
        <w:ind w:firstLine="480"/>
        <w:rPr>
          <w:rFonts w:hint="eastAsia" w:ascii="宋体" w:hAnsi="宋体" w:eastAsia="宋体" w:cs="宋体"/>
          <w:kern w:val="0"/>
          <w:sz w:val="24"/>
        </w:rPr>
      </w:pPr>
    </w:p>
    <w:p>
      <w:pPr>
        <w:adjustRightInd w:val="0"/>
        <w:snapToGrid w:val="0"/>
        <w:spacing w:line="360" w:lineRule="auto"/>
        <w:ind w:firstLine="4680" w:firstLineChars="1950"/>
        <w:rPr>
          <w:rFonts w:hint="eastAsia" w:ascii="宋体" w:hAnsi="宋体" w:eastAsia="宋体" w:cs="宋体"/>
          <w:kern w:val="0"/>
          <w:sz w:val="24"/>
          <w:lang w:val="zh-CN"/>
        </w:rPr>
      </w:pPr>
      <w:r>
        <w:rPr>
          <w:rFonts w:hint="eastAsia" w:ascii="宋体" w:hAnsi="宋体" w:eastAsia="宋体" w:cs="宋体"/>
          <w:kern w:val="0"/>
          <w:sz w:val="24"/>
          <w:lang w:val="zh-CN"/>
        </w:rPr>
        <w:t xml:space="preserve">    磋商供应商(公章)：</w:t>
      </w:r>
    </w:p>
    <w:p>
      <w:pPr>
        <w:adjustRightInd w:val="0"/>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法定代表人或授权委托人(签字</w:t>
      </w:r>
      <w:r>
        <w:rPr>
          <w:rFonts w:hint="eastAsia" w:ascii="宋体" w:hAnsi="宋体" w:eastAsia="宋体" w:cs="宋体"/>
          <w:kern w:val="0"/>
          <w:sz w:val="24"/>
          <w:lang w:val="en-US" w:eastAsia="zh-CN"/>
        </w:rPr>
        <w:t>或盖章</w:t>
      </w:r>
      <w:r>
        <w:rPr>
          <w:rFonts w:hint="eastAsia" w:ascii="宋体" w:hAnsi="宋体" w:eastAsia="宋体" w:cs="宋体"/>
          <w:kern w:val="0"/>
          <w:sz w:val="24"/>
          <w:lang w:val="zh-CN"/>
        </w:rPr>
        <w:t>)：</w:t>
      </w:r>
    </w:p>
    <w:p>
      <w:pPr>
        <w:spacing w:line="360" w:lineRule="auto"/>
        <w:ind w:firstLine="600" w:firstLineChars="250"/>
        <w:jc w:val="right"/>
        <w:rPr>
          <w:rFonts w:hint="eastAsia" w:ascii="宋体" w:hAnsi="宋体" w:eastAsia="宋体" w:cs="宋体"/>
          <w:sz w:val="24"/>
          <w:szCs w:val="24"/>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  日期：</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年  月   日</w:t>
      </w:r>
    </w:p>
    <w:p>
      <w:pPr>
        <w:tabs>
          <w:tab w:val="left" w:pos="3111"/>
        </w:tabs>
        <w:autoSpaceDE w:val="0"/>
        <w:autoSpaceDN w:val="0"/>
        <w:adjustRightInd w:val="0"/>
        <w:rPr>
          <w:rFonts w:hint="eastAsia" w:ascii="宋体" w:hAnsi="宋体" w:eastAsia="宋体" w:cs="宋体"/>
          <w:color w:val="auto"/>
          <w:kern w:val="0"/>
          <w:sz w:val="24"/>
          <w:szCs w:val="24"/>
        </w:rPr>
      </w:pPr>
    </w:p>
    <w:p>
      <w:pPr>
        <w:pStyle w:val="10"/>
        <w:adjustRightInd w:val="0"/>
        <w:snapToGrid w:val="0"/>
        <w:spacing w:before="120" w:after="120"/>
        <w:jc w:val="center"/>
        <w:rPr>
          <w:rFonts w:hint="eastAsia" w:ascii="宋体" w:hAnsi="宋体" w:eastAsia="宋体" w:cs="宋体"/>
          <w:b/>
          <w:bCs/>
          <w:color w:val="auto"/>
          <w:sz w:val="24"/>
          <w:szCs w:val="24"/>
          <w:lang w:val="zh-CN"/>
        </w:rPr>
      </w:pPr>
    </w:p>
    <w:p>
      <w:pPr>
        <w:pStyle w:val="10"/>
        <w:adjustRightInd w:val="0"/>
        <w:snapToGrid w:val="0"/>
        <w:spacing w:before="120" w:after="120"/>
        <w:jc w:val="center"/>
        <w:rPr>
          <w:rFonts w:hint="eastAsia" w:ascii="宋体" w:hAnsi="宋体" w:eastAsia="宋体" w:cs="宋体"/>
          <w:b/>
          <w:bCs/>
          <w:color w:val="auto"/>
          <w:sz w:val="24"/>
          <w:szCs w:val="24"/>
          <w:lang w:val="zh-CN"/>
        </w:rPr>
      </w:pPr>
    </w:p>
    <w:p>
      <w:pPr>
        <w:pStyle w:val="11"/>
        <w:rPr>
          <w:rFonts w:hint="eastAsia"/>
          <w:lang w:val="zh-CN"/>
        </w:rPr>
      </w:pPr>
    </w:p>
    <w:p>
      <w:pPr>
        <w:snapToGrid w:val="0"/>
        <w:spacing w:before="120" w:beforeLines="50" w:after="50"/>
        <w:jc w:val="left"/>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snapToGrid w:val="0"/>
        <w:spacing w:before="120" w:beforeLines="50" w:after="50"/>
        <w:jc w:val="left"/>
        <w:rPr>
          <w:rFonts w:hint="eastAsia" w:ascii="宋体" w:hAnsi="宋体" w:eastAsia="宋体" w:cs="宋体"/>
          <w:b/>
          <w:sz w:val="24"/>
          <w:szCs w:val="24"/>
        </w:rPr>
      </w:pPr>
      <w:r>
        <w:rPr>
          <w:rFonts w:hint="eastAsia" w:ascii="宋体" w:hAnsi="宋体" w:eastAsia="宋体" w:cs="宋体"/>
          <w:b/>
          <w:bCs/>
          <w:color w:val="auto"/>
          <w:sz w:val="24"/>
          <w:szCs w:val="24"/>
        </w:rPr>
        <w:t>附件</w:t>
      </w: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sz w:val="24"/>
          <w:szCs w:val="24"/>
        </w:rPr>
        <w:t>授权委托书</w:t>
      </w:r>
    </w:p>
    <w:p>
      <w:pPr>
        <w:pStyle w:val="10"/>
        <w:spacing w:line="500" w:lineRule="exact"/>
        <w:rPr>
          <w:rFonts w:hAnsi="宋体"/>
          <w:b/>
          <w:sz w:val="24"/>
        </w:rPr>
      </w:pPr>
      <w:r>
        <w:rPr>
          <w:rFonts w:hint="eastAsia" w:hAnsi="宋体" w:eastAsia="宋体"/>
          <w:b/>
          <w:sz w:val="24"/>
          <w:u w:val="single"/>
          <w:lang w:eastAsia="zh-CN"/>
        </w:rPr>
        <w:t>浙江省成套招标代理有限公司</w:t>
      </w:r>
      <w:r>
        <w:rPr>
          <w:rFonts w:hAnsi="宋体"/>
          <w:b/>
          <w:sz w:val="24"/>
        </w:rPr>
        <w:t>：</w:t>
      </w:r>
    </w:p>
    <w:p>
      <w:pPr>
        <w:pStyle w:val="10"/>
        <w:spacing w:line="500" w:lineRule="exact"/>
        <w:ind w:left="240" w:hanging="240" w:hangingChars="100"/>
        <w:rPr>
          <w:rFonts w:hAnsi="宋体"/>
          <w:sz w:val="24"/>
        </w:rPr>
      </w:pPr>
      <w:r>
        <w:rPr>
          <w:rFonts w:hAnsi="宋体"/>
          <w:sz w:val="24"/>
        </w:rPr>
        <w:t xml:space="preserve">    </w:t>
      </w: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hAnsi="宋体" w:eastAsia="宋体"/>
          <w:sz w:val="24"/>
          <w:u w:val="single"/>
          <w:lang w:val="en-US" w:eastAsia="zh-CN"/>
        </w:rPr>
        <w:t xml:space="preserve"> </w:t>
      </w:r>
      <w:r>
        <w:rPr>
          <w:rFonts w:hint="eastAsia" w:hAnsi="宋体" w:eastAsia="宋体" w:cs="宋体"/>
          <w:kern w:val="0"/>
          <w:sz w:val="24"/>
          <w:u w:val="single"/>
          <w:lang w:val="en-US" w:eastAsia="zh-CN"/>
        </w:rPr>
        <w:t>仙居县城乡冷链物流设施项目—物流网点连接线工程（下各镇）</w:t>
      </w:r>
      <w:r>
        <w:rPr>
          <w:rFonts w:hint="eastAsia" w:hAnsi="宋体"/>
          <w:sz w:val="24"/>
          <w:u w:val="single"/>
        </w:rPr>
        <w:t xml:space="preserve"> </w:t>
      </w:r>
      <w:r>
        <w:rPr>
          <w:rFonts w:hAnsi="宋体"/>
          <w:sz w:val="24"/>
        </w:rPr>
        <w:t>项目的采购活动，并代表我方全权办理针对上述项目的磋商、签约等具体事务和签署相关文件。</w:t>
      </w:r>
      <w:r>
        <w:rPr>
          <w:rFonts w:hint="eastAsia" w:hAnsi="宋体"/>
          <w:sz w:val="24"/>
        </w:rPr>
        <w:t>我方对全权代表的签字事项负全部责任。</w:t>
      </w:r>
    </w:p>
    <w:p>
      <w:pPr>
        <w:pStyle w:val="10"/>
        <w:spacing w:line="500" w:lineRule="exact"/>
        <w:ind w:left="238"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500" w:lineRule="exact"/>
        <w:ind w:left="238"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keepNext w:val="0"/>
              <w:keepLines w:val="0"/>
              <w:suppressLineNumbers w:val="0"/>
              <w:spacing w:before="0" w:beforeAutospacing="0" w:after="0" w:afterAutospacing="0" w:line="360" w:lineRule="auto"/>
              <w:ind w:left="0" w:right="0"/>
              <w:rPr>
                <w:rFonts w:hint="default" w:ascii="宋体"/>
                <w:b/>
                <w:sz w:val="24"/>
              </w:rPr>
            </w:pPr>
          </w:p>
          <w:p>
            <w:pPr>
              <w:keepNext w:val="0"/>
              <w:keepLines w:val="0"/>
              <w:suppressLineNumbers w:val="0"/>
              <w:spacing w:before="0" w:beforeAutospacing="0" w:after="0" w:afterAutospacing="0" w:line="360" w:lineRule="auto"/>
              <w:ind w:left="0" w:right="0" w:firstLine="360" w:firstLineChars="150"/>
              <w:rPr>
                <w:rFonts w:hint="default"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4"/>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keepNext w:val="0"/>
              <w:keepLines w:val="0"/>
              <w:suppressLineNumbers w:val="0"/>
              <w:spacing w:before="0" w:beforeAutospacing="0" w:after="0" w:afterAutospacing="0" w:line="360" w:lineRule="auto"/>
              <w:ind w:left="0" w:right="0"/>
              <w:rPr>
                <w:rFonts w:hint="default" w:ascii="宋体"/>
                <w:b/>
                <w:sz w:val="24"/>
              </w:rPr>
            </w:pPr>
          </w:p>
          <w:p>
            <w:pPr>
              <w:keepNext w:val="0"/>
              <w:keepLines w:val="0"/>
              <w:suppressLineNumbers w:val="0"/>
              <w:spacing w:before="0" w:beforeAutospacing="0" w:after="0" w:afterAutospacing="0" w:line="360" w:lineRule="auto"/>
              <w:ind w:left="0" w:right="0" w:firstLine="360" w:firstLineChars="150"/>
              <w:rPr>
                <w:rFonts w:hint="default"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pStyle w:val="5"/>
        <w:spacing w:line="360" w:lineRule="auto"/>
        <w:ind w:firstLine="0"/>
        <w:jc w:val="left"/>
        <w:rPr>
          <w:rFonts w:hint="eastAsia" w:ascii="宋体" w:hAnsi="宋体" w:eastAsia="宋体" w:cs="宋体"/>
          <w:b/>
          <w:bCs/>
          <w:sz w:val="24"/>
          <w:szCs w:val="24"/>
          <w:lang w:eastAsia="zh-CN"/>
        </w:rPr>
      </w:pPr>
    </w:p>
    <w:p>
      <w:pPr>
        <w:pStyle w:val="10"/>
        <w:adjustRightInd w:val="0"/>
        <w:snapToGrid w:val="0"/>
        <w:spacing w:before="156" w:after="156"/>
        <w:rPr>
          <w:rFonts w:hint="eastAsia" w:ascii="宋体" w:hAnsi="宋体" w:eastAsia="宋体" w:cs="宋体"/>
          <w:b/>
          <w:bCs/>
          <w:color w:val="auto"/>
          <w:sz w:val="21"/>
          <w:szCs w:val="21"/>
        </w:rPr>
      </w:pPr>
    </w:p>
    <w:p>
      <w:pPr>
        <w:pStyle w:val="5"/>
        <w:spacing w:line="360" w:lineRule="auto"/>
        <w:ind w:firstLine="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附件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p>
    <w:p>
      <w:pPr>
        <w:pStyle w:val="5"/>
        <w:spacing w:line="360" w:lineRule="auto"/>
        <w:ind w:firstLine="0"/>
        <w:jc w:val="center"/>
        <w:rPr>
          <w:rFonts w:hint="eastAsia" w:ascii="仿宋_GB2312" w:hAnsi="宋体" w:eastAsia="仿宋_GB2312"/>
          <w:b/>
          <w:color w:val="auto"/>
          <w:sz w:val="32"/>
          <w:szCs w:val="32"/>
        </w:rPr>
      </w:pPr>
      <w:r>
        <w:rPr>
          <w:rFonts w:hint="eastAsia" w:ascii="宋体" w:hAnsi="宋体" w:cs="宋体"/>
          <w:b/>
          <w:color w:val="auto"/>
          <w:kern w:val="2"/>
          <w:sz w:val="24"/>
          <w:szCs w:val="24"/>
          <w:lang w:val="en-US" w:eastAsia="zh-CN" w:bidi="ar-SA"/>
        </w:rPr>
        <w:t>依法缴纳税收及社会保障资金的承诺函</w:t>
      </w:r>
    </w:p>
    <w:p>
      <w:pPr>
        <w:pStyle w:val="10"/>
        <w:spacing w:before="60" w:after="60" w:line="500" w:lineRule="exact"/>
        <w:rPr>
          <w:rFonts w:hint="eastAsia" w:hAnsi="宋体" w:cs="宋体"/>
          <w:b/>
          <w:bCs/>
          <w:color w:val="auto"/>
          <w:sz w:val="24"/>
          <w:u w:val="single"/>
        </w:rPr>
      </w:pPr>
      <w:r>
        <w:rPr>
          <w:rFonts w:hint="eastAsia" w:hAnsi="宋体" w:cs="宋体"/>
          <w:b/>
          <w:bCs/>
          <w:color w:val="auto"/>
          <w:sz w:val="24"/>
          <w:u w:val="single"/>
          <w:lang w:eastAsia="zh-CN"/>
        </w:rPr>
        <w:t>浙江省成套招标代理有限公司</w:t>
      </w:r>
      <w:r>
        <w:rPr>
          <w:rFonts w:hint="eastAsia" w:hAnsi="宋体" w:cs="宋体"/>
          <w:b/>
          <w:bCs/>
          <w:color w:val="auto"/>
          <w:sz w:val="24"/>
          <w:u w:val="single"/>
        </w:rPr>
        <w:t>：</w:t>
      </w: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hAnsi="宋体" w:cs="宋体"/>
          <w:color w:val="auto"/>
          <w:sz w:val="24"/>
          <w:u w:val="single"/>
        </w:rPr>
        <w:t xml:space="preserve"> </w:t>
      </w:r>
      <w:r>
        <w:rPr>
          <w:rFonts w:hint="eastAsia" w:hAnsi="宋体" w:cs="宋体"/>
          <w:color w:val="auto"/>
          <w:sz w:val="24"/>
          <w:u w:val="single"/>
          <w:lang w:eastAsia="zh-CN"/>
        </w:rPr>
        <w:t xml:space="preserve">仙居县城乡冷链物流设施项目—物流网点连接线工程（下各镇） </w:t>
      </w:r>
      <w:r>
        <w:rPr>
          <w:rFonts w:hint="eastAsia" w:hAnsi="宋体" w:cs="宋体"/>
          <w:color w:val="auto"/>
          <w:sz w:val="24"/>
          <w:u w:val="single"/>
          <w:lang w:val="en-US" w:eastAsia="zh-CN"/>
        </w:rPr>
        <w:t xml:space="preserve"> </w:t>
      </w:r>
      <w:r>
        <w:rPr>
          <w:rFonts w:hint="eastAsia" w:hAnsi="宋体" w:eastAsia="宋体" w:cs="宋体"/>
          <w:color w:val="auto"/>
          <w:sz w:val="24"/>
          <w:highlight w:val="none"/>
          <w:u w:val="single"/>
          <w:lang w:eastAsia="zh-CN"/>
        </w:rPr>
        <w:t>CTZB-2024040057</w:t>
      </w:r>
      <w:r>
        <w:rPr>
          <w:rFonts w:hint="eastAsia" w:hAnsi="宋体" w:cs="宋体"/>
          <w:color w:val="auto"/>
          <w:sz w:val="24"/>
          <w:highlight w:val="none"/>
          <w:u w:val="single"/>
          <w:lang w:val="en-US" w:eastAsia="zh-CN"/>
        </w:rPr>
        <w:t xml:space="preserve"> </w:t>
      </w:r>
      <w:r>
        <w:rPr>
          <w:rFonts w:hint="eastAsia" w:hAnsi="宋体" w:cs="宋体"/>
          <w:color w:val="auto"/>
          <w:sz w:val="24"/>
        </w:rPr>
        <w:t xml:space="preserve"> 的</w:t>
      </w:r>
      <w:r>
        <w:rPr>
          <w:rFonts w:hint="eastAsia" w:hAnsi="宋体" w:cs="宋体"/>
          <w:color w:val="auto"/>
          <w:sz w:val="24"/>
          <w:lang w:eastAsia="zh-CN"/>
        </w:rPr>
        <w:t>投标</w:t>
      </w:r>
      <w:r>
        <w:rPr>
          <w:rFonts w:hint="eastAsia" w:hAnsi="宋体" w:cs="宋体"/>
          <w:color w:val="auto"/>
          <w:sz w:val="24"/>
        </w:rPr>
        <w:t>活动，现郑重承诺：</w:t>
      </w: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我公司已依法缴纳税收及社会保障资金，符合参与政府采购活动的资格条件，不存在税收缴纳、社会保障等方面的失信记录。</w:t>
      </w:r>
    </w:p>
    <w:p>
      <w:pPr>
        <w:pStyle w:val="5"/>
        <w:spacing w:line="360" w:lineRule="auto"/>
        <w:ind w:firstLine="480" w:firstLineChars="200"/>
        <w:jc w:val="both"/>
        <w:rPr>
          <w:rFonts w:hint="eastAsia" w:hAnsi="宋体" w:eastAsia="宋体" w:cs="宋体"/>
          <w:color w:val="auto"/>
          <w:sz w:val="24"/>
          <w:lang w:eastAsia="zh-CN"/>
        </w:rPr>
      </w:pPr>
      <w:r>
        <w:rPr>
          <w:rFonts w:hint="eastAsia" w:hAnsi="宋体" w:cs="宋体"/>
          <w:color w:val="auto"/>
          <w:sz w:val="24"/>
        </w:rPr>
        <w:t>如本公司对以上条款提供虚假承诺，愿承担一切法律责任</w:t>
      </w:r>
      <w:r>
        <w:rPr>
          <w:rFonts w:hint="eastAsia" w:hAnsi="宋体" w:cs="宋体"/>
          <w:color w:val="auto"/>
          <w:sz w:val="24"/>
          <w:lang w:eastAsia="zh-CN"/>
        </w:rPr>
        <w:t>。</w:t>
      </w:r>
    </w:p>
    <w:p>
      <w:pPr>
        <w:pStyle w:val="5"/>
        <w:spacing w:line="360" w:lineRule="auto"/>
        <w:ind w:firstLine="0"/>
        <w:jc w:val="center"/>
        <w:rPr>
          <w:rFonts w:hint="eastAsia" w:hAnsi="宋体" w:cs="宋体"/>
          <w:color w:val="auto"/>
          <w:sz w:val="24"/>
        </w:rPr>
      </w:pPr>
    </w:p>
    <w:p>
      <w:pPr>
        <w:spacing w:line="380" w:lineRule="exact"/>
        <w:ind w:firstLine="240" w:firstLineChars="100"/>
        <w:jc w:val="left"/>
        <w:rPr>
          <w:rFonts w:hint="eastAsia" w:ascii="宋体" w:hAnsi="宋体" w:cs="宋体"/>
          <w:color w:val="auto"/>
          <w:sz w:val="24"/>
        </w:rPr>
      </w:pPr>
      <w:r>
        <w:rPr>
          <w:rFonts w:hint="eastAsia" w:ascii="宋体" w:hAnsi="宋体" w:cs="宋体"/>
          <w:color w:val="auto"/>
          <w:sz w:val="24"/>
          <w:lang w:eastAsia="zh-CN"/>
        </w:rPr>
        <w:t>磋商</w:t>
      </w:r>
      <w:r>
        <w:rPr>
          <w:rFonts w:hint="eastAsia" w:ascii="宋体"/>
          <w:sz w:val="24"/>
        </w:rPr>
        <w:t>供应商</w:t>
      </w:r>
      <w:r>
        <w:rPr>
          <w:rFonts w:hint="eastAsia" w:ascii="宋体" w:hAnsi="宋体" w:cs="宋体"/>
          <w:color w:val="auto"/>
          <w:sz w:val="24"/>
        </w:rPr>
        <w:t xml:space="preserve"> (盖单位章)</w:t>
      </w:r>
      <w:r>
        <w:rPr>
          <w:rFonts w:hint="eastAsia" w:ascii="宋体" w:hAnsi="宋体" w:cs="宋体"/>
          <w:color w:val="auto"/>
          <w:sz w:val="24"/>
          <w:lang w:val="en-US" w:eastAsia="zh-CN"/>
        </w:rPr>
        <w:t xml:space="preserve"> </w:t>
      </w:r>
      <w:r>
        <w:rPr>
          <w:rFonts w:hint="eastAsia" w:ascii="宋体" w:hAnsi="宋体" w:cs="宋体"/>
          <w:color w:val="auto"/>
          <w:sz w:val="24"/>
        </w:rPr>
        <w:t>：</w:t>
      </w:r>
    </w:p>
    <w:p>
      <w:pPr>
        <w:spacing w:line="380" w:lineRule="exact"/>
        <w:ind w:firstLine="2640" w:firstLineChars="1100"/>
        <w:jc w:val="left"/>
        <w:rPr>
          <w:rFonts w:hint="eastAsia" w:ascii="宋体" w:hAnsi="宋体" w:cs="宋体"/>
          <w:color w:val="auto"/>
          <w:sz w:val="24"/>
        </w:rPr>
      </w:pPr>
    </w:p>
    <w:p>
      <w:pPr>
        <w:spacing w:line="380" w:lineRule="exact"/>
        <w:jc w:val="left"/>
        <w:rPr>
          <w:rFonts w:hint="eastAsia" w:ascii="宋体" w:hAnsi="宋体" w:cs="宋体"/>
          <w:color w:val="auto"/>
        </w:rPr>
      </w:pPr>
      <w:r>
        <w:rPr>
          <w:rFonts w:hint="eastAsia" w:ascii="宋体" w:hAnsi="宋体" w:cs="宋体"/>
          <w:color w:val="auto"/>
        </w:rPr>
        <w:t xml:space="preserve">                          </w:t>
      </w:r>
    </w:p>
    <w:p>
      <w:pPr>
        <w:pStyle w:val="5"/>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日  期：    年   月   日</w:t>
      </w: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center"/>
        <w:rPr>
          <w:rFonts w:hint="eastAsia" w:ascii="宋体" w:hAnsi="宋体" w:eastAsia="宋体" w:cs="宋体"/>
          <w:sz w:val="24"/>
          <w:szCs w:val="24"/>
        </w:rPr>
      </w:pPr>
    </w:p>
    <w:p>
      <w:pPr>
        <w:pStyle w:val="5"/>
        <w:spacing w:line="360" w:lineRule="auto"/>
        <w:ind w:firstLine="0"/>
        <w:jc w:val="both"/>
        <w:rPr>
          <w:rFonts w:hint="eastAsia" w:ascii="宋体" w:hAnsi="宋体" w:eastAsia="宋体" w:cs="宋体"/>
          <w:sz w:val="24"/>
          <w:szCs w:val="24"/>
        </w:rPr>
      </w:pPr>
    </w:p>
    <w:p>
      <w:pPr>
        <w:pStyle w:val="5"/>
        <w:spacing w:line="360" w:lineRule="auto"/>
        <w:ind w:firstLine="0"/>
        <w:jc w:val="left"/>
        <w:rPr>
          <w:rFonts w:hint="eastAsia" w:ascii="宋体" w:hAnsi="宋体" w:cs="宋体"/>
          <w:b/>
          <w:color w:val="auto"/>
          <w:kern w:val="2"/>
          <w:sz w:val="24"/>
          <w:szCs w:val="24"/>
          <w:lang w:val="en-US" w:eastAsia="zh-CN" w:bidi="ar-SA"/>
        </w:rPr>
      </w:pPr>
      <w:r>
        <w:rPr>
          <w:rFonts w:hint="eastAsia" w:ascii="宋体" w:hAnsi="宋体" w:cs="宋体"/>
          <w:b/>
          <w:color w:val="auto"/>
          <w:kern w:val="2"/>
          <w:sz w:val="24"/>
          <w:szCs w:val="24"/>
          <w:lang w:val="en-US" w:eastAsia="zh-CN" w:bidi="ar-SA"/>
        </w:rPr>
        <w:t xml:space="preserve">附件四：          </w:t>
      </w:r>
    </w:p>
    <w:p>
      <w:pPr>
        <w:pStyle w:val="5"/>
        <w:spacing w:line="360" w:lineRule="auto"/>
        <w:ind w:firstLine="0"/>
        <w:jc w:val="center"/>
        <w:rPr>
          <w:rFonts w:hint="eastAsia" w:ascii="仿宋_GB2312" w:hAnsi="宋体" w:eastAsia="仿宋_GB2312"/>
          <w:b/>
          <w:color w:val="auto"/>
          <w:sz w:val="32"/>
          <w:szCs w:val="32"/>
        </w:rPr>
      </w:pPr>
      <w:r>
        <w:rPr>
          <w:rFonts w:hint="eastAsia" w:ascii="宋体" w:hAnsi="宋体" w:cs="宋体"/>
          <w:b/>
          <w:color w:val="auto"/>
          <w:kern w:val="2"/>
          <w:sz w:val="24"/>
          <w:szCs w:val="24"/>
          <w:lang w:val="en-US" w:eastAsia="zh-CN" w:bidi="ar-SA"/>
        </w:rPr>
        <w:t>具有良好的商业信誉和健全的财务会计制度的承诺函</w:t>
      </w:r>
    </w:p>
    <w:p>
      <w:pPr>
        <w:pStyle w:val="10"/>
        <w:spacing w:before="60" w:after="60" w:line="500" w:lineRule="exact"/>
        <w:rPr>
          <w:rFonts w:hint="eastAsia" w:hAnsi="宋体" w:cs="宋体"/>
          <w:b/>
          <w:bCs/>
          <w:color w:val="auto"/>
          <w:sz w:val="24"/>
          <w:u w:val="single"/>
        </w:rPr>
      </w:pPr>
      <w:r>
        <w:rPr>
          <w:rFonts w:hint="eastAsia" w:hAnsi="宋体" w:cs="宋体"/>
          <w:b/>
          <w:bCs/>
          <w:color w:val="auto"/>
          <w:sz w:val="24"/>
          <w:u w:val="single"/>
          <w:lang w:eastAsia="zh-CN"/>
        </w:rPr>
        <w:t>浙江省成套招标代理有限公司</w:t>
      </w:r>
      <w:r>
        <w:rPr>
          <w:rFonts w:hint="eastAsia" w:hAnsi="宋体" w:cs="宋体"/>
          <w:b/>
          <w:bCs/>
          <w:color w:val="auto"/>
          <w:sz w:val="24"/>
          <w:u w:val="single"/>
        </w:rPr>
        <w:t>：</w:t>
      </w: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hAnsi="宋体" w:cs="宋体"/>
          <w:color w:val="auto"/>
          <w:sz w:val="24"/>
          <w:u w:val="single"/>
        </w:rPr>
        <w:t xml:space="preserve"> </w:t>
      </w:r>
      <w:r>
        <w:rPr>
          <w:rFonts w:hint="eastAsia" w:hAnsi="宋体" w:cs="宋体"/>
          <w:color w:val="auto"/>
          <w:sz w:val="24"/>
          <w:u w:val="single"/>
          <w:lang w:eastAsia="zh-CN"/>
        </w:rPr>
        <w:t xml:space="preserve">仙居县城乡冷链物流设施项目—物流网点连接线工程（下各镇） </w:t>
      </w:r>
      <w:r>
        <w:rPr>
          <w:rFonts w:hint="eastAsia" w:hAnsi="宋体" w:cs="宋体"/>
          <w:color w:val="auto"/>
          <w:sz w:val="24"/>
          <w:u w:val="single"/>
          <w:lang w:val="en-US" w:eastAsia="zh-CN"/>
        </w:rPr>
        <w:t xml:space="preserve"> </w:t>
      </w:r>
      <w:r>
        <w:rPr>
          <w:rFonts w:hint="eastAsia" w:hAnsi="宋体" w:eastAsia="宋体" w:cs="宋体"/>
          <w:color w:val="auto"/>
          <w:sz w:val="24"/>
          <w:highlight w:val="none"/>
          <w:u w:val="single"/>
          <w:lang w:eastAsia="zh-CN"/>
        </w:rPr>
        <w:t>CTZB-2024040057</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 xml:space="preserve"> 的</w:t>
      </w:r>
      <w:r>
        <w:rPr>
          <w:rFonts w:hint="eastAsia" w:hAnsi="宋体" w:cs="宋体"/>
          <w:color w:val="auto"/>
          <w:sz w:val="24"/>
          <w:lang w:eastAsia="zh-CN"/>
        </w:rPr>
        <w:t>投标</w:t>
      </w:r>
      <w:r>
        <w:rPr>
          <w:rFonts w:hint="eastAsia" w:hAnsi="宋体" w:cs="宋体"/>
          <w:color w:val="auto"/>
          <w:sz w:val="24"/>
        </w:rPr>
        <w:t>活动，现承诺我公司在参加本项目政府采购活动前，没有处于被责令停产、财产被接管、冻结或破产状态，具有足够的流动资金，有能力履行合同；我公司具有良好的商业信誉和健全的财务会计制度。</w:t>
      </w:r>
    </w:p>
    <w:p>
      <w:pPr>
        <w:pStyle w:val="10"/>
        <w:spacing w:before="60" w:after="60" w:line="500" w:lineRule="exact"/>
        <w:ind w:firstLine="480" w:firstLineChars="200"/>
        <w:rPr>
          <w:rFonts w:hint="eastAsia" w:hAnsi="宋体" w:cs="宋体"/>
          <w:color w:val="auto"/>
          <w:sz w:val="24"/>
        </w:rPr>
      </w:pP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如本公司对以上条款提供虚假承诺，愿承担一切法律责任。</w:t>
      </w:r>
    </w:p>
    <w:p>
      <w:pPr>
        <w:pStyle w:val="10"/>
        <w:spacing w:before="60" w:after="60" w:line="500" w:lineRule="exact"/>
        <w:ind w:firstLine="480" w:firstLineChars="200"/>
        <w:rPr>
          <w:rFonts w:hint="eastAsia" w:hAnsi="宋体" w:cs="宋体"/>
          <w:color w:val="auto"/>
          <w:sz w:val="24"/>
        </w:rPr>
      </w:pPr>
    </w:p>
    <w:p>
      <w:pPr>
        <w:pStyle w:val="11"/>
        <w:rPr>
          <w:rFonts w:hint="eastAsia" w:hAnsi="宋体" w:cs="宋体"/>
          <w:color w:val="auto"/>
          <w:sz w:val="24"/>
        </w:rPr>
      </w:pPr>
    </w:p>
    <w:p>
      <w:pPr>
        <w:rPr>
          <w:rFonts w:hint="eastAsia"/>
        </w:rPr>
      </w:pPr>
    </w:p>
    <w:p>
      <w:pPr>
        <w:pStyle w:val="10"/>
        <w:adjustRightInd w:val="0"/>
        <w:snapToGrid w:val="0"/>
        <w:spacing w:before="120" w:after="120"/>
        <w:jc w:val="center"/>
        <w:rPr>
          <w:rFonts w:hint="eastAsia" w:ascii="宋体" w:hAnsi="宋体" w:cs="宋体"/>
          <w:color w:val="auto"/>
          <w:sz w:val="23"/>
          <w:szCs w:val="23"/>
          <w:lang w:val="en-US" w:eastAsia="zh-CN"/>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磋商供应商（盖单位章）：</w:t>
      </w:r>
    </w:p>
    <w:p>
      <w:pPr>
        <w:pStyle w:val="5"/>
        <w:spacing w:line="360" w:lineRule="auto"/>
        <w:ind w:firstLine="0"/>
        <w:jc w:val="center"/>
        <w:rPr>
          <w:rFonts w:hint="eastAsia" w:ascii="宋体" w:hAnsi="宋体" w:cs="宋体"/>
          <w:color w:val="auto"/>
          <w:sz w:val="23"/>
          <w:szCs w:val="23"/>
          <w:lang w:val="en-US" w:eastAsia="zh-CN"/>
        </w:rPr>
      </w:pPr>
      <w:r>
        <w:rPr>
          <w:rFonts w:hint="eastAsia" w:ascii="宋体" w:hAnsi="宋体" w:cs="宋体"/>
          <w:color w:val="auto"/>
          <w:sz w:val="23"/>
          <w:szCs w:val="23"/>
          <w:lang w:val="en-US" w:eastAsia="zh-CN"/>
        </w:rPr>
        <w:t xml:space="preserve">                                              日  期：        年    月    日</w:t>
      </w: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left"/>
        <w:rPr>
          <w:rFonts w:hint="eastAsia" w:ascii="宋体" w:hAnsi="宋体" w:cs="宋体"/>
          <w:color w:val="auto"/>
          <w:sz w:val="23"/>
          <w:szCs w:val="23"/>
          <w:lang w:val="en-US" w:eastAsia="zh-CN"/>
        </w:rPr>
      </w:pPr>
      <w:r>
        <w:rPr>
          <w:rFonts w:hint="eastAsia" w:ascii="宋体" w:hAnsi="宋体" w:cs="宋体"/>
          <w:b/>
          <w:color w:val="auto"/>
          <w:kern w:val="2"/>
          <w:sz w:val="24"/>
          <w:szCs w:val="24"/>
          <w:lang w:val="en-US" w:eastAsia="zh-CN" w:bidi="ar-SA"/>
        </w:rPr>
        <w:t>附件五：</w:t>
      </w:r>
    </w:p>
    <w:p>
      <w:pPr>
        <w:pStyle w:val="5"/>
        <w:spacing w:line="360" w:lineRule="auto"/>
        <w:ind w:firstLine="0"/>
        <w:jc w:val="center"/>
        <w:rPr>
          <w:rFonts w:hint="eastAsia" w:ascii="宋体" w:hAnsi="宋体" w:cs="宋体"/>
          <w:color w:val="auto"/>
          <w:sz w:val="23"/>
          <w:szCs w:val="23"/>
          <w:lang w:val="en-US" w:eastAsia="zh-CN"/>
        </w:rPr>
      </w:pPr>
    </w:p>
    <w:p>
      <w:pPr>
        <w:pStyle w:val="5"/>
        <w:spacing w:line="360" w:lineRule="auto"/>
        <w:ind w:firstLine="0"/>
        <w:jc w:val="center"/>
        <w:rPr>
          <w:rFonts w:hint="eastAsia" w:ascii="仿宋_GB2312" w:hAnsi="宋体" w:eastAsia="仿宋_GB2312"/>
          <w:b/>
          <w:sz w:val="32"/>
          <w:szCs w:val="32"/>
        </w:rPr>
      </w:pPr>
      <w:r>
        <w:rPr>
          <w:rFonts w:hint="eastAsia" w:ascii="宋体" w:hAnsi="宋体" w:cs="宋体"/>
          <w:b/>
          <w:color w:val="auto"/>
          <w:kern w:val="2"/>
          <w:sz w:val="24"/>
          <w:szCs w:val="24"/>
          <w:lang w:val="en-US" w:eastAsia="zh-CN" w:bidi="ar-SA"/>
        </w:rPr>
        <w:t>具有履行合同所必需设备和专业技术能力的承诺函</w:t>
      </w:r>
    </w:p>
    <w:p>
      <w:pPr>
        <w:pStyle w:val="10"/>
        <w:spacing w:before="60" w:after="60" w:line="500" w:lineRule="exact"/>
        <w:rPr>
          <w:rFonts w:hint="eastAsia" w:hAnsi="宋体" w:cs="宋体"/>
          <w:b/>
          <w:bCs/>
          <w:color w:val="auto"/>
          <w:sz w:val="24"/>
          <w:u w:val="single"/>
        </w:rPr>
      </w:pPr>
      <w:r>
        <w:rPr>
          <w:rFonts w:hint="eastAsia" w:hAnsi="宋体" w:cs="宋体"/>
          <w:b/>
          <w:bCs/>
          <w:color w:val="auto"/>
          <w:sz w:val="24"/>
          <w:u w:val="single"/>
          <w:lang w:eastAsia="zh-CN"/>
        </w:rPr>
        <w:t>浙江省成套招标代理有限公司</w:t>
      </w:r>
      <w:r>
        <w:rPr>
          <w:rFonts w:hint="eastAsia" w:hAnsi="宋体" w:cs="宋体"/>
          <w:b/>
          <w:bCs/>
          <w:color w:val="auto"/>
          <w:sz w:val="24"/>
          <w:u w:val="single"/>
        </w:rPr>
        <w:t>：</w:t>
      </w: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hAnsi="宋体" w:eastAsia="宋体" w:cs="宋体"/>
          <w:color w:val="auto"/>
          <w:sz w:val="24"/>
          <w:u w:val="single"/>
          <w:lang w:val="en-US" w:eastAsia="zh-CN"/>
        </w:rPr>
        <w:t xml:space="preserve"> </w:t>
      </w:r>
      <w:r>
        <w:rPr>
          <w:rFonts w:hint="eastAsia" w:hAnsi="宋体" w:cs="宋体"/>
          <w:color w:val="auto"/>
          <w:sz w:val="24"/>
          <w:u w:val="single"/>
          <w:lang w:eastAsia="zh-CN"/>
        </w:rPr>
        <w:t xml:space="preserve">仙居县城乡冷链物流设施项目—物流网点连接线工程（下各镇） </w:t>
      </w:r>
      <w:r>
        <w:rPr>
          <w:rFonts w:hint="eastAsia" w:hAnsi="宋体" w:cs="宋体"/>
          <w:color w:val="auto"/>
          <w:sz w:val="24"/>
          <w:u w:val="single"/>
          <w:lang w:val="en-US" w:eastAsia="zh-CN"/>
        </w:rPr>
        <w:t xml:space="preserve"> </w:t>
      </w:r>
      <w:r>
        <w:rPr>
          <w:rFonts w:hint="eastAsia" w:hAnsi="宋体" w:eastAsia="宋体" w:cs="宋体"/>
          <w:color w:val="auto"/>
          <w:sz w:val="24"/>
          <w:highlight w:val="none"/>
          <w:u w:val="single"/>
          <w:lang w:eastAsia="zh-CN"/>
        </w:rPr>
        <w:t>CTZB-2024040057</w:t>
      </w:r>
      <w:r>
        <w:rPr>
          <w:rFonts w:hint="eastAsia" w:hAnsi="宋体" w:cs="宋体"/>
          <w:color w:val="auto"/>
          <w:sz w:val="24"/>
          <w:highlight w:val="none"/>
        </w:rPr>
        <w:t xml:space="preserve"> 的</w:t>
      </w:r>
      <w:r>
        <w:rPr>
          <w:rFonts w:hint="eastAsia" w:hAnsi="宋体" w:cs="宋体"/>
          <w:color w:val="auto"/>
          <w:sz w:val="24"/>
          <w:lang w:eastAsia="zh-CN"/>
        </w:rPr>
        <w:t>磋商</w:t>
      </w:r>
      <w:r>
        <w:rPr>
          <w:rFonts w:hint="eastAsia" w:hAnsi="宋体" w:cs="宋体"/>
          <w:color w:val="auto"/>
          <w:sz w:val="24"/>
        </w:rPr>
        <w:t>活动，我方郑重承诺，我方承诺具有履行合同所必需设备和专业技术能力。如有虚假，</w:t>
      </w:r>
      <w:r>
        <w:rPr>
          <w:rFonts w:hint="eastAsia" w:hAnsi="宋体" w:cs="宋体"/>
          <w:color w:val="auto"/>
          <w:sz w:val="24"/>
          <w:lang w:val="en-US" w:eastAsia="zh-CN"/>
        </w:rPr>
        <w:t>采购组织机构</w:t>
      </w:r>
      <w:r>
        <w:rPr>
          <w:rFonts w:hint="eastAsia" w:hAnsi="宋体" w:cs="宋体"/>
          <w:color w:val="auto"/>
          <w:sz w:val="24"/>
        </w:rPr>
        <w:t>可取消我方任何资格（</w:t>
      </w:r>
      <w:r>
        <w:rPr>
          <w:rFonts w:hint="eastAsia" w:hAnsi="宋体" w:cs="宋体"/>
          <w:color w:val="auto"/>
          <w:sz w:val="24"/>
          <w:lang w:eastAsia="zh-CN"/>
        </w:rPr>
        <w:t>磋商</w:t>
      </w:r>
      <w:r>
        <w:rPr>
          <w:rFonts w:hint="eastAsia" w:hAnsi="宋体" w:cs="宋体"/>
          <w:color w:val="auto"/>
          <w:sz w:val="24"/>
        </w:rPr>
        <w:t>/中标/签订合同），我方对此无任何异议。</w:t>
      </w:r>
    </w:p>
    <w:p>
      <w:pPr>
        <w:pStyle w:val="10"/>
        <w:spacing w:before="60" w:after="60" w:line="500" w:lineRule="exact"/>
        <w:ind w:firstLine="480" w:firstLineChars="200"/>
        <w:rPr>
          <w:rFonts w:hint="eastAsia" w:hAnsi="宋体" w:cs="宋体"/>
          <w:color w:val="auto"/>
          <w:sz w:val="24"/>
        </w:rPr>
      </w:pPr>
    </w:p>
    <w:p>
      <w:pPr>
        <w:pStyle w:val="10"/>
        <w:spacing w:before="60" w:after="60" w:line="500" w:lineRule="exact"/>
        <w:ind w:firstLine="480" w:firstLineChars="200"/>
        <w:rPr>
          <w:rFonts w:hint="eastAsia" w:hAnsi="宋体" w:cs="宋体"/>
          <w:color w:val="auto"/>
          <w:sz w:val="24"/>
        </w:rPr>
      </w:pPr>
      <w:r>
        <w:rPr>
          <w:rFonts w:hint="eastAsia" w:hAnsi="宋体" w:cs="宋体"/>
          <w:color w:val="auto"/>
          <w:sz w:val="24"/>
        </w:rPr>
        <w:t>特此承诺！</w:t>
      </w:r>
    </w:p>
    <w:p>
      <w:pPr>
        <w:pStyle w:val="10"/>
        <w:spacing w:before="60" w:after="60" w:line="500" w:lineRule="exact"/>
        <w:ind w:firstLine="480" w:firstLineChars="200"/>
        <w:rPr>
          <w:rFonts w:hint="eastAsia" w:hAnsi="宋体" w:cs="宋体"/>
          <w:color w:val="auto"/>
          <w:sz w:val="24"/>
        </w:rPr>
      </w:pPr>
    </w:p>
    <w:p>
      <w:pPr>
        <w:keepNext w:val="0"/>
        <w:keepLines w:val="0"/>
        <w:pageBreakBefore w:val="0"/>
        <w:widowControl w:val="0"/>
        <w:kinsoku/>
        <w:wordWrap/>
        <w:overflowPunct/>
        <w:topLinePunct w:val="0"/>
        <w:autoSpaceDE/>
        <w:autoSpaceDN/>
        <w:bidi w:val="0"/>
        <w:spacing w:line="360" w:lineRule="auto"/>
        <w:ind w:firstLine="230" w:firstLineChars="100"/>
        <w:jc w:val="left"/>
        <w:textAlignment w:val="auto"/>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4"/>
          <w:lang w:eastAsia="zh-CN"/>
        </w:rPr>
        <w:t>磋商供应商</w:t>
      </w:r>
      <w:r>
        <w:rPr>
          <w:rFonts w:hint="eastAsia" w:ascii="宋体" w:hAnsi="宋体" w:cs="宋体"/>
          <w:color w:val="auto"/>
          <w:sz w:val="24"/>
        </w:rPr>
        <w:t xml:space="preserve"> (盖单位章)</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0"/>
        <w:adjustRightInd w:val="0"/>
        <w:snapToGrid w:val="0"/>
        <w:spacing w:before="120" w:after="120"/>
        <w:jc w:val="center"/>
        <w:rPr>
          <w:rFonts w:hint="eastAsia" w:ascii="宋体" w:hAnsi="宋体" w:cs="宋体"/>
          <w:color w:val="auto"/>
          <w:sz w:val="24"/>
        </w:rPr>
      </w:pPr>
      <w:r>
        <w:rPr>
          <w:rFonts w:hint="eastAsia" w:hAnsi="宋体" w:cs="宋体"/>
          <w:color w:val="auto"/>
          <w:sz w:val="24"/>
          <w:lang w:val="en-US" w:eastAsia="zh-CN"/>
        </w:rPr>
        <w:t xml:space="preserve">                               </w:t>
      </w:r>
      <w:r>
        <w:rPr>
          <w:rFonts w:hint="eastAsia" w:ascii="宋体" w:hAnsi="宋体" w:cs="宋体"/>
          <w:color w:val="auto"/>
          <w:sz w:val="24"/>
        </w:rPr>
        <w:t>日　期</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0"/>
        <w:adjustRightInd w:val="0"/>
        <w:snapToGrid w:val="0"/>
        <w:spacing w:before="120" w:after="120"/>
        <w:rPr>
          <w:rFonts w:hint="eastAsia" w:ascii="宋体" w:hAnsi="宋体" w:eastAsia="宋体" w:cs="宋体"/>
          <w:b/>
          <w:bCs/>
          <w:color w:val="auto"/>
          <w:sz w:val="21"/>
          <w:szCs w:val="21"/>
          <w:lang w:eastAsia="zh-CN"/>
        </w:rPr>
      </w:pPr>
    </w:p>
    <w:p>
      <w:pPr>
        <w:pStyle w:val="10"/>
        <w:adjustRightInd w:val="0"/>
        <w:snapToGrid w:val="0"/>
        <w:spacing w:before="120" w:after="120"/>
        <w:rPr>
          <w:rFonts w:hint="eastAsia" w:ascii="宋体" w:hAnsi="宋体" w:eastAsia="宋体" w:cs="宋体"/>
          <w:b/>
          <w:bCs/>
          <w:color w:val="auto"/>
          <w:sz w:val="21"/>
          <w:szCs w:val="21"/>
          <w:lang w:eastAsia="zh-CN"/>
        </w:rPr>
      </w:pPr>
    </w:p>
    <w:p>
      <w:pPr>
        <w:pStyle w:val="10"/>
        <w:adjustRightInd w:val="0"/>
        <w:snapToGrid w:val="0"/>
        <w:spacing w:before="120" w:after="120"/>
        <w:rPr>
          <w:rFonts w:hint="eastAsia" w:ascii="宋体" w:hAnsi="宋体" w:eastAsia="宋体" w:cs="宋体"/>
          <w:b/>
          <w:bCs/>
          <w:color w:val="auto"/>
          <w:sz w:val="21"/>
          <w:szCs w:val="21"/>
          <w:lang w:eastAsia="zh-CN"/>
        </w:rPr>
      </w:pPr>
    </w:p>
    <w:p>
      <w:pPr>
        <w:pStyle w:val="11"/>
        <w:rPr>
          <w:rFonts w:hint="eastAsia"/>
          <w:lang w:eastAsia="zh-CN"/>
        </w:rPr>
      </w:pPr>
    </w:p>
    <w:p>
      <w:pPr>
        <w:pStyle w:val="5"/>
        <w:spacing w:line="360" w:lineRule="auto"/>
        <w:ind w:firstLine="0"/>
        <w:jc w:val="left"/>
        <w:rPr>
          <w:rFonts w:hint="eastAsia" w:ascii="宋体" w:hAnsi="宋体" w:eastAsia="宋体" w:cs="宋体"/>
          <w:b/>
          <w:bCs/>
          <w:color w:val="auto"/>
          <w:sz w:val="24"/>
          <w:szCs w:val="24"/>
          <w:lang w:eastAsia="zh-CN"/>
        </w:rPr>
      </w:pPr>
    </w:p>
    <w:p>
      <w:pPr>
        <w:widowControl/>
        <w:spacing w:beforeLines="0" w:afterLines="0" w:line="360" w:lineRule="auto"/>
        <w:jc w:val="left"/>
        <w:rPr>
          <w:rFonts w:hint="default" w:ascii="宋体" w:hAnsi="宋体" w:eastAsia="宋体"/>
          <w:color w:val="auto"/>
          <w:sz w:val="30"/>
        </w:rPr>
      </w:pPr>
      <w:r>
        <w:rPr>
          <w:rFonts w:hint="eastAsia" w:ascii="宋体" w:hAnsi="宋体" w:cs="宋体"/>
          <w:b/>
          <w:color w:val="auto"/>
          <w:kern w:val="2"/>
          <w:sz w:val="24"/>
          <w:szCs w:val="24"/>
          <w:lang w:val="en-US" w:eastAsia="zh-CN" w:bidi="ar-SA"/>
        </w:rPr>
        <w:t xml:space="preserve">附件六：                   </w:t>
      </w:r>
      <w:r>
        <w:rPr>
          <w:rFonts w:hint="default" w:ascii="宋体" w:hAnsi="宋体" w:eastAsia="宋体"/>
          <w:b/>
          <w:color w:val="auto"/>
          <w:kern w:val="0"/>
          <w:sz w:val="30"/>
        </w:rPr>
        <w:t>中小企业声明函</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本公司（联合体）郑重声明，根据《政府采购促进中小企业发展管理办法》（财库﹝2020﹞46号）的规定，本公司（联合体）参加</w:t>
      </w:r>
      <w:r>
        <w:rPr>
          <w:rFonts w:hint="default" w:ascii="宋体" w:hAnsi="宋体" w:eastAsia="宋体"/>
          <w:i/>
          <w:color w:val="auto"/>
          <w:kern w:val="0"/>
          <w:sz w:val="24"/>
          <w:u w:val="single"/>
        </w:rPr>
        <w:t xml:space="preserve">    （单位名称）    </w:t>
      </w:r>
      <w:r>
        <w:rPr>
          <w:rFonts w:hint="default" w:ascii="宋体" w:hAnsi="宋体" w:eastAsia="宋体"/>
          <w:color w:val="auto"/>
          <w:kern w:val="0"/>
          <w:sz w:val="24"/>
        </w:rPr>
        <w:t>的</w:t>
      </w:r>
      <w:r>
        <w:rPr>
          <w:rFonts w:hint="default" w:ascii="宋体" w:hAnsi="宋体" w:eastAsia="宋体"/>
          <w:color w:val="auto"/>
          <w:kern w:val="0"/>
          <w:sz w:val="24"/>
          <w:u w:val="single"/>
        </w:rPr>
        <w:t xml:space="preserve">  </w:t>
      </w:r>
      <w:r>
        <w:rPr>
          <w:rFonts w:hint="default" w:ascii="宋体" w:hAnsi="宋体" w:eastAsia="宋体"/>
          <w:i/>
          <w:color w:val="auto"/>
          <w:kern w:val="0"/>
          <w:sz w:val="24"/>
          <w:u w:val="single"/>
        </w:rPr>
        <w:t xml:space="preserve">（项目名称）   </w:t>
      </w:r>
      <w:r>
        <w:rPr>
          <w:rFonts w:hint="default" w:ascii="宋体" w:hAnsi="宋体" w:eastAsia="宋体"/>
          <w:color w:val="auto"/>
          <w:kern w:val="0"/>
          <w:sz w:val="24"/>
        </w:rPr>
        <w:t>采购活动，工程的施工单位全部为符合政策要求的中小企业。相关企业（含联合体中的中小企业、签订分包意向协议的中小企业）的具体情况如下：</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1.</w:t>
      </w:r>
      <w:r>
        <w:rPr>
          <w:rFonts w:hint="default" w:ascii="宋体" w:hAnsi="宋体" w:eastAsia="宋体"/>
          <w:color w:val="auto"/>
          <w:kern w:val="0"/>
          <w:sz w:val="24"/>
          <w:u w:val="single"/>
        </w:rPr>
        <w:t xml:space="preserve"> </w:t>
      </w:r>
      <w:r>
        <w:rPr>
          <w:rFonts w:hint="default" w:ascii="宋体" w:hAnsi="宋体" w:eastAsia="宋体"/>
          <w:i/>
          <w:color w:val="auto"/>
          <w:kern w:val="0"/>
          <w:sz w:val="24"/>
          <w:u w:val="single"/>
        </w:rPr>
        <w:t xml:space="preserve">（标的名称） </w:t>
      </w:r>
      <w:r>
        <w:rPr>
          <w:rFonts w:hint="default" w:ascii="宋体" w:hAnsi="宋体" w:eastAsia="宋体"/>
          <w:color w:val="auto"/>
          <w:kern w:val="0"/>
          <w:sz w:val="24"/>
        </w:rPr>
        <w:t>，属于</w:t>
      </w:r>
      <w:r>
        <w:rPr>
          <w:rFonts w:hint="default" w:ascii="宋体" w:hAnsi="宋体" w:eastAsia="宋体"/>
          <w:color w:val="auto"/>
          <w:kern w:val="0"/>
          <w:sz w:val="24"/>
          <w:u w:val="single"/>
        </w:rPr>
        <w:t>建筑业</w:t>
      </w:r>
      <w:r>
        <w:rPr>
          <w:rFonts w:hint="default" w:ascii="宋体" w:hAnsi="宋体" w:eastAsia="宋体"/>
          <w:color w:val="auto"/>
          <w:kern w:val="0"/>
          <w:sz w:val="24"/>
        </w:rPr>
        <w:t>；承建企业为</w:t>
      </w:r>
      <w:r>
        <w:rPr>
          <w:rFonts w:hint="default" w:ascii="宋体" w:hAnsi="宋体" w:eastAsia="宋体"/>
          <w:i/>
          <w:color w:val="auto"/>
          <w:kern w:val="0"/>
          <w:sz w:val="24"/>
          <w:u w:val="single"/>
        </w:rPr>
        <w:t>（企业名称）</w:t>
      </w:r>
      <w:r>
        <w:rPr>
          <w:rFonts w:hint="default" w:ascii="宋体" w:hAnsi="宋体" w:eastAsia="宋体"/>
          <w:color w:val="auto"/>
          <w:kern w:val="0"/>
          <w:sz w:val="24"/>
        </w:rPr>
        <w:t>，从业人员</w:t>
      </w:r>
      <w:r>
        <w:rPr>
          <w:rFonts w:hint="default" w:ascii="宋体" w:hAnsi="宋体" w:eastAsia="宋体"/>
          <w:color w:val="auto"/>
          <w:kern w:val="0"/>
          <w:sz w:val="24"/>
          <w:u w:val="single"/>
        </w:rPr>
        <w:t xml:space="preserve">    </w:t>
      </w:r>
      <w:r>
        <w:rPr>
          <w:rFonts w:hint="default" w:ascii="宋体" w:hAnsi="宋体" w:eastAsia="宋体"/>
          <w:color w:val="auto"/>
          <w:kern w:val="0"/>
          <w:sz w:val="24"/>
        </w:rPr>
        <w:t>人，营业收入为</w:t>
      </w:r>
      <w:r>
        <w:rPr>
          <w:rFonts w:hint="default" w:ascii="宋体" w:hAnsi="宋体" w:eastAsia="宋体"/>
          <w:color w:val="auto"/>
          <w:kern w:val="0"/>
          <w:sz w:val="24"/>
          <w:u w:val="single"/>
        </w:rPr>
        <w:t xml:space="preserve">    </w:t>
      </w:r>
      <w:r>
        <w:rPr>
          <w:rFonts w:hint="default" w:ascii="宋体" w:hAnsi="宋体" w:eastAsia="宋体"/>
          <w:color w:val="auto"/>
          <w:kern w:val="0"/>
          <w:sz w:val="24"/>
        </w:rPr>
        <w:t>万元，资产总额为</w:t>
      </w:r>
      <w:r>
        <w:rPr>
          <w:rFonts w:hint="default" w:ascii="宋体" w:hAnsi="宋体" w:eastAsia="宋体"/>
          <w:color w:val="auto"/>
          <w:kern w:val="0"/>
          <w:sz w:val="24"/>
          <w:u w:val="single"/>
        </w:rPr>
        <w:t xml:space="preserve">    </w:t>
      </w:r>
      <w:r>
        <w:rPr>
          <w:rFonts w:hint="default" w:ascii="宋体" w:hAnsi="宋体" w:eastAsia="宋体"/>
          <w:color w:val="auto"/>
          <w:kern w:val="0"/>
          <w:sz w:val="24"/>
        </w:rPr>
        <w:t>万元</w:t>
      </w:r>
      <w:r>
        <w:rPr>
          <w:rFonts w:hint="default" w:ascii="宋体" w:hAnsi="宋体" w:eastAsia="宋体"/>
          <w:color w:val="auto"/>
          <w:kern w:val="0"/>
          <w:sz w:val="24"/>
          <w:vertAlign w:val="superscript"/>
        </w:rPr>
        <w:t>1</w:t>
      </w:r>
      <w:r>
        <w:rPr>
          <w:rFonts w:hint="default" w:ascii="宋体" w:hAnsi="宋体" w:eastAsia="宋体"/>
          <w:color w:val="auto"/>
          <w:kern w:val="0"/>
          <w:sz w:val="24"/>
        </w:rPr>
        <w:t>，属于</w:t>
      </w:r>
      <w:r>
        <w:rPr>
          <w:rFonts w:hint="default" w:ascii="宋体" w:hAnsi="宋体" w:eastAsia="宋体"/>
          <w:i/>
          <w:color w:val="auto"/>
          <w:kern w:val="0"/>
          <w:sz w:val="24"/>
        </w:rPr>
        <w:t>（</w:t>
      </w:r>
      <w:r>
        <w:rPr>
          <w:rFonts w:hint="default" w:ascii="宋体" w:hAnsi="宋体" w:eastAsia="宋体"/>
          <w:i/>
          <w:color w:val="auto"/>
          <w:kern w:val="0"/>
          <w:sz w:val="24"/>
          <w:u w:val="single"/>
        </w:rPr>
        <w:t>中型企业、小型企业、微型企业）</w:t>
      </w:r>
      <w:r>
        <w:rPr>
          <w:rFonts w:hint="default" w:ascii="宋体" w:hAnsi="宋体" w:eastAsia="宋体"/>
          <w:color w:val="auto"/>
          <w:kern w:val="0"/>
          <w:sz w:val="24"/>
        </w:rPr>
        <w:t xml:space="preserve">； </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 xml:space="preserve">2. </w:t>
      </w:r>
      <w:r>
        <w:rPr>
          <w:rFonts w:hint="default" w:ascii="宋体" w:hAnsi="宋体" w:eastAsia="宋体"/>
          <w:color w:val="auto"/>
          <w:kern w:val="0"/>
          <w:sz w:val="24"/>
          <w:u w:val="single"/>
        </w:rPr>
        <w:t xml:space="preserve"> </w:t>
      </w:r>
      <w:r>
        <w:rPr>
          <w:rFonts w:hint="default" w:ascii="宋体" w:hAnsi="宋体" w:eastAsia="宋体"/>
          <w:i/>
          <w:color w:val="auto"/>
          <w:kern w:val="0"/>
          <w:sz w:val="24"/>
          <w:u w:val="single"/>
        </w:rPr>
        <w:t xml:space="preserve">（标的名称） </w:t>
      </w:r>
      <w:r>
        <w:rPr>
          <w:rFonts w:hint="default" w:ascii="宋体" w:hAnsi="宋体" w:eastAsia="宋体"/>
          <w:color w:val="auto"/>
          <w:kern w:val="0"/>
          <w:sz w:val="24"/>
        </w:rPr>
        <w:t>，属于</w:t>
      </w:r>
      <w:r>
        <w:rPr>
          <w:rFonts w:hint="default" w:ascii="宋体" w:hAnsi="宋体" w:eastAsia="宋体"/>
          <w:color w:val="auto"/>
          <w:kern w:val="0"/>
          <w:sz w:val="24"/>
          <w:u w:val="single"/>
        </w:rPr>
        <w:t>建筑业</w:t>
      </w:r>
      <w:r>
        <w:rPr>
          <w:rFonts w:hint="default" w:ascii="宋体" w:hAnsi="宋体" w:eastAsia="宋体"/>
          <w:color w:val="auto"/>
          <w:kern w:val="0"/>
          <w:sz w:val="24"/>
        </w:rPr>
        <w:t>；承建企业为</w:t>
      </w:r>
      <w:r>
        <w:rPr>
          <w:rFonts w:hint="default" w:ascii="宋体" w:hAnsi="宋体" w:eastAsia="宋体"/>
          <w:i/>
          <w:color w:val="auto"/>
          <w:kern w:val="0"/>
          <w:sz w:val="24"/>
          <w:u w:val="single"/>
        </w:rPr>
        <w:t xml:space="preserve">（企业名称） </w:t>
      </w:r>
      <w:r>
        <w:rPr>
          <w:rFonts w:hint="default" w:ascii="宋体" w:hAnsi="宋体" w:eastAsia="宋体"/>
          <w:color w:val="auto"/>
          <w:kern w:val="0"/>
          <w:sz w:val="24"/>
        </w:rPr>
        <w:t>，从业人员</w:t>
      </w:r>
      <w:r>
        <w:rPr>
          <w:rFonts w:hint="default" w:ascii="宋体" w:hAnsi="宋体" w:eastAsia="宋体"/>
          <w:color w:val="auto"/>
          <w:kern w:val="0"/>
          <w:sz w:val="24"/>
          <w:u w:val="single"/>
        </w:rPr>
        <w:t xml:space="preserve">    </w:t>
      </w:r>
      <w:r>
        <w:rPr>
          <w:rFonts w:hint="default" w:ascii="宋体" w:hAnsi="宋体" w:eastAsia="宋体"/>
          <w:color w:val="auto"/>
          <w:kern w:val="0"/>
          <w:sz w:val="24"/>
        </w:rPr>
        <w:t>人，营业收入为</w:t>
      </w:r>
      <w:r>
        <w:rPr>
          <w:rFonts w:hint="default" w:ascii="宋体" w:hAnsi="宋体" w:eastAsia="宋体"/>
          <w:color w:val="auto"/>
          <w:kern w:val="0"/>
          <w:sz w:val="24"/>
          <w:u w:val="single"/>
        </w:rPr>
        <w:t xml:space="preserve">    </w:t>
      </w:r>
      <w:r>
        <w:rPr>
          <w:rFonts w:hint="default" w:ascii="宋体" w:hAnsi="宋体" w:eastAsia="宋体"/>
          <w:color w:val="auto"/>
          <w:kern w:val="0"/>
          <w:sz w:val="24"/>
        </w:rPr>
        <w:t>万元，资产总额为</w:t>
      </w:r>
      <w:r>
        <w:rPr>
          <w:rFonts w:hint="default" w:ascii="宋体" w:hAnsi="宋体" w:eastAsia="宋体"/>
          <w:color w:val="auto"/>
          <w:kern w:val="0"/>
          <w:sz w:val="24"/>
          <w:u w:val="single"/>
        </w:rPr>
        <w:t xml:space="preserve">    </w:t>
      </w:r>
      <w:r>
        <w:rPr>
          <w:rFonts w:hint="default" w:ascii="宋体" w:hAnsi="宋体" w:eastAsia="宋体"/>
          <w:color w:val="auto"/>
          <w:kern w:val="0"/>
          <w:sz w:val="24"/>
        </w:rPr>
        <w:t>万元，属于</w:t>
      </w:r>
      <w:r>
        <w:rPr>
          <w:rFonts w:hint="default" w:ascii="宋体" w:hAnsi="宋体" w:eastAsia="宋体"/>
          <w:i/>
          <w:color w:val="auto"/>
          <w:kern w:val="0"/>
          <w:sz w:val="24"/>
        </w:rPr>
        <w:t>（</w:t>
      </w:r>
      <w:r>
        <w:rPr>
          <w:rFonts w:hint="default" w:ascii="宋体" w:hAnsi="宋体" w:eastAsia="宋体"/>
          <w:i/>
          <w:color w:val="auto"/>
          <w:kern w:val="0"/>
          <w:sz w:val="24"/>
          <w:u w:val="single"/>
        </w:rPr>
        <w:t>中型企业、小型企业、微型企业）</w:t>
      </w:r>
      <w:r>
        <w:rPr>
          <w:rFonts w:hint="default" w:ascii="宋体" w:hAnsi="宋体" w:eastAsia="宋体"/>
          <w:color w:val="auto"/>
          <w:kern w:val="0"/>
          <w:sz w:val="24"/>
        </w:rPr>
        <w:t xml:space="preserve">； </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以上企业，不属于大企业的分支机构，不存在控股股东为大企业的情形，也不存在与大企业的负责人为同一人的情形。</w:t>
      </w:r>
    </w:p>
    <w:p>
      <w:pPr>
        <w:widowControl/>
        <w:spacing w:beforeLines="0" w:afterLines="0" w:line="500" w:lineRule="exact"/>
        <w:ind w:firstLine="480" w:firstLineChars="200"/>
        <w:jc w:val="left"/>
        <w:rPr>
          <w:rFonts w:hint="default" w:ascii="宋体" w:hAnsi="宋体" w:eastAsia="宋体"/>
          <w:color w:val="auto"/>
          <w:sz w:val="24"/>
        </w:rPr>
      </w:pPr>
      <w:r>
        <w:rPr>
          <w:rFonts w:hint="default" w:ascii="宋体" w:hAnsi="宋体" w:eastAsia="宋体"/>
          <w:color w:val="auto"/>
          <w:kern w:val="0"/>
          <w:sz w:val="24"/>
        </w:rPr>
        <w:t xml:space="preserve">本企业对上述声明内容的真实性负责。如有虚假，将依法承担相应责任。 </w:t>
      </w:r>
    </w:p>
    <w:p>
      <w:pPr>
        <w:widowControl/>
        <w:spacing w:beforeLines="0" w:afterLines="0" w:line="500" w:lineRule="exact"/>
        <w:jc w:val="center"/>
        <w:rPr>
          <w:rFonts w:hint="default" w:ascii="宋体" w:hAnsi="宋体" w:eastAsia="宋体"/>
          <w:color w:val="auto"/>
          <w:kern w:val="0"/>
          <w:sz w:val="24"/>
        </w:rPr>
      </w:pPr>
    </w:p>
    <w:p>
      <w:pPr>
        <w:widowControl/>
        <w:spacing w:beforeLines="0" w:afterLines="0" w:line="500" w:lineRule="exact"/>
        <w:jc w:val="center"/>
        <w:rPr>
          <w:rFonts w:hint="default" w:ascii="宋体" w:hAnsi="宋体" w:eastAsia="宋体"/>
          <w:color w:val="auto"/>
          <w:sz w:val="24"/>
        </w:rPr>
      </w:pPr>
      <w:r>
        <w:rPr>
          <w:rFonts w:hint="default" w:ascii="宋体" w:hAnsi="宋体" w:eastAsia="宋体"/>
          <w:color w:val="auto"/>
          <w:kern w:val="0"/>
          <w:sz w:val="24"/>
        </w:rPr>
        <w:t>企业名称（盖章）：</w:t>
      </w:r>
    </w:p>
    <w:p>
      <w:pPr>
        <w:widowControl/>
        <w:spacing w:beforeLines="0" w:afterLines="0" w:line="500" w:lineRule="exact"/>
        <w:jc w:val="center"/>
        <w:rPr>
          <w:rFonts w:hint="default" w:ascii="宋体" w:hAnsi="宋体" w:eastAsia="宋体"/>
          <w:color w:val="auto"/>
          <w:sz w:val="24"/>
        </w:rPr>
      </w:pPr>
      <w:r>
        <w:rPr>
          <w:rFonts w:hint="default" w:ascii="宋体" w:hAnsi="宋体" w:eastAsia="宋体"/>
          <w:color w:val="auto"/>
          <w:kern w:val="0"/>
          <w:sz w:val="24"/>
        </w:rPr>
        <w:t xml:space="preserve">          日 期：</w:t>
      </w:r>
    </w:p>
    <w:p>
      <w:pPr>
        <w:pStyle w:val="42"/>
        <w:spacing w:beforeLines="0" w:afterLines="0" w:line="360" w:lineRule="auto"/>
        <w:jc w:val="left"/>
        <w:rPr>
          <w:rFonts w:hint="default" w:ascii="宋体" w:hAnsi="宋体"/>
          <w:b/>
          <w:color w:val="auto"/>
          <w:sz w:val="21"/>
        </w:rPr>
      </w:pPr>
    </w:p>
    <w:p>
      <w:pPr>
        <w:widowControl/>
        <w:spacing w:beforeLines="0" w:afterLines="0"/>
        <w:jc w:val="left"/>
        <w:rPr>
          <w:rFonts w:hint="default" w:ascii="宋体" w:hAnsi="宋体" w:eastAsia="宋体"/>
          <w:color w:val="auto"/>
          <w:kern w:val="0"/>
          <w:sz w:val="21"/>
        </w:rPr>
      </w:pPr>
    </w:p>
    <w:p>
      <w:pPr>
        <w:widowControl/>
        <w:spacing w:beforeLines="0" w:afterLines="0"/>
        <w:jc w:val="left"/>
        <w:rPr>
          <w:rFonts w:hint="default" w:ascii="宋体" w:hAnsi="宋体" w:eastAsia="宋体"/>
          <w:color w:val="auto"/>
          <w:kern w:val="0"/>
          <w:sz w:val="21"/>
        </w:rPr>
      </w:pPr>
    </w:p>
    <w:p>
      <w:pPr>
        <w:widowControl/>
        <w:spacing w:beforeLines="0" w:afterLines="0" w:line="240" w:lineRule="auto"/>
        <w:jc w:val="left"/>
        <w:rPr>
          <w:rFonts w:hint="default" w:ascii="宋体" w:hAnsi="宋体" w:eastAsia="宋体"/>
          <w:color w:val="auto"/>
          <w:kern w:val="0"/>
          <w:sz w:val="21"/>
        </w:rPr>
      </w:pPr>
      <w:r>
        <w:rPr>
          <w:rFonts w:hint="default" w:ascii="宋体" w:hAnsi="宋体" w:eastAsia="宋体"/>
          <w:color w:val="auto"/>
          <w:kern w:val="0"/>
          <w:sz w:val="21"/>
        </w:rPr>
        <w:t>注：</w:t>
      </w:r>
      <w:r>
        <w:rPr>
          <w:rFonts w:hint="eastAsia" w:ascii="宋体" w:hAnsi="宋体"/>
          <w:color w:val="auto"/>
          <w:kern w:val="0"/>
          <w:sz w:val="21"/>
          <w:lang w:val="en-US" w:eastAsia="zh-CN"/>
        </w:rPr>
        <w:t>1</w:t>
      </w:r>
      <w:r>
        <w:rPr>
          <w:rFonts w:hint="default" w:ascii="宋体" w:hAnsi="宋体" w:eastAsia="宋体"/>
          <w:color w:val="auto"/>
          <w:kern w:val="0"/>
          <w:sz w:val="21"/>
        </w:rPr>
        <w:t>.从业人员、营业收入、资产总额填报上一年度数据，无上一年度数据的新成立企业可不填报。</w:t>
      </w:r>
    </w:p>
    <w:p>
      <w:pPr>
        <w:widowControl/>
        <w:spacing w:beforeLines="0" w:afterLines="0" w:line="240" w:lineRule="auto"/>
        <w:ind w:firstLine="420" w:firstLineChars="200"/>
        <w:jc w:val="left"/>
        <w:rPr>
          <w:rFonts w:hint="default" w:ascii="宋体" w:hAnsi="宋体" w:eastAsia="宋体"/>
          <w:color w:val="auto"/>
          <w:kern w:val="0"/>
          <w:sz w:val="21"/>
        </w:rPr>
      </w:pPr>
      <w:r>
        <w:rPr>
          <w:rFonts w:hint="default" w:ascii="宋体" w:hAnsi="宋体" w:eastAsia="宋体"/>
          <w:color w:val="auto"/>
          <w:kern w:val="0"/>
          <w:sz w:val="21"/>
        </w:rPr>
        <w:t>2.标的物、所属行业</w:t>
      </w:r>
      <w:r>
        <w:rPr>
          <w:rFonts w:hint="eastAsia" w:ascii="宋体" w:hAnsi="宋体" w:eastAsia="宋体"/>
          <w:color w:val="auto"/>
          <w:kern w:val="0"/>
          <w:sz w:val="21"/>
          <w:lang w:val="en-US" w:eastAsia="zh-CN"/>
        </w:rPr>
        <w:t>为建筑业</w:t>
      </w:r>
      <w:r>
        <w:rPr>
          <w:rFonts w:hint="default" w:ascii="宋体" w:hAnsi="宋体" w:eastAsia="宋体"/>
          <w:color w:val="auto"/>
          <w:kern w:val="0"/>
          <w:sz w:val="21"/>
        </w:rPr>
        <w:t>，可扩行。</w:t>
      </w:r>
    </w:p>
    <w:p>
      <w:pPr>
        <w:widowControl/>
        <w:spacing w:beforeLines="0" w:afterLines="0" w:line="240" w:lineRule="auto"/>
        <w:ind w:firstLine="420" w:firstLineChars="200"/>
        <w:jc w:val="left"/>
        <w:rPr>
          <w:rFonts w:hint="default"/>
          <w:color w:val="auto"/>
          <w:sz w:val="32"/>
          <w:szCs w:val="32"/>
        </w:rPr>
      </w:pPr>
      <w:r>
        <w:rPr>
          <w:rFonts w:hint="default" w:ascii="宋体" w:hAnsi="宋体" w:eastAsia="宋体"/>
          <w:color w:val="auto"/>
          <w:kern w:val="0"/>
          <w:sz w:val="21"/>
        </w:rPr>
        <w:t>3.中型企业、小型企业、微型企业请根据《关于印发中小企业划型标准规定的通知》工信部联企业〔2011〕300号文件标准填写。</w:t>
      </w:r>
    </w:p>
    <w:p>
      <w:pPr>
        <w:pStyle w:val="2"/>
      </w:pPr>
    </w:p>
    <w:p>
      <w:pPr>
        <w:pStyle w:val="8"/>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1"/>
        <w:rPr>
          <w:rFonts w:hint="eastAsia" w:ascii="宋体" w:hAnsi="宋体" w:eastAsia="宋体" w:cs="宋体"/>
          <w:b/>
          <w:bCs/>
          <w:color w:val="auto"/>
          <w:sz w:val="24"/>
          <w:szCs w:val="24"/>
        </w:rPr>
      </w:pPr>
    </w:p>
    <w:p>
      <w:pPr>
        <w:rPr>
          <w:rFonts w:hint="eastAsia"/>
        </w:rPr>
      </w:pPr>
    </w:p>
    <w:p>
      <w:pPr>
        <w:rPr>
          <w:rFonts w:hint="eastAsia"/>
        </w:rPr>
      </w:pPr>
    </w:p>
    <w:p>
      <w:pPr>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残疾人福利性单位声明函</w:t>
      </w:r>
      <w:r>
        <w:rPr>
          <w:rFonts w:hint="eastAsia" w:ascii="宋体" w:hAnsi="宋体" w:eastAsia="宋体" w:cs="宋体"/>
          <w:b/>
          <w:bCs/>
          <w:color w:val="auto"/>
          <w:sz w:val="24"/>
          <w:szCs w:val="24"/>
          <w:lang w:eastAsia="zh-CN"/>
        </w:rPr>
        <w:t>（如有）</w:t>
      </w:r>
    </w:p>
    <w:p>
      <w:pPr>
        <w:jc w:val="center"/>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auto"/>
          <w:spacing w:val="6"/>
          <w:sz w:val="24"/>
        </w:rPr>
      </w:pPr>
      <w:r>
        <w:rPr>
          <w:rFonts w:hint="eastAsia" w:ascii="宋体" w:hAnsi="宋体" w:eastAsia="宋体" w:cs="宋体"/>
          <w:color w:val="auto"/>
          <w:sz w:val="24"/>
          <w:szCs w:val="24"/>
        </w:rPr>
        <w:t>本</w:t>
      </w:r>
      <w:r>
        <w:rPr>
          <w:rFonts w:hint="eastAsia" w:ascii="宋体" w:hAnsi="宋体" w:cs="宋体"/>
          <w:color w:val="auto"/>
          <w:spacing w:val="6"/>
          <w:sz w:val="24"/>
        </w:rPr>
        <w:t>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pacing w:val="6"/>
          <w:sz w:val="24"/>
          <w:u w:val="single"/>
          <w:lang w:val="en-US" w:eastAsia="zh-CN"/>
        </w:rPr>
        <w:t xml:space="preserve"> 仙居县交通运输局 </w:t>
      </w:r>
      <w:r>
        <w:rPr>
          <w:rFonts w:hint="eastAsia" w:ascii="宋体" w:hAnsi="宋体" w:cs="宋体"/>
          <w:color w:val="auto"/>
          <w:spacing w:val="6"/>
          <w:sz w:val="24"/>
        </w:rPr>
        <w:t>单位的</w:t>
      </w:r>
      <w:r>
        <w:rPr>
          <w:rFonts w:hint="eastAsia" w:ascii="宋体" w:hAnsi="宋体" w:cs="宋体"/>
          <w:color w:val="auto"/>
          <w:spacing w:val="6"/>
          <w:sz w:val="24"/>
          <w:u w:val="single"/>
        </w:rPr>
        <w:t xml:space="preserve">  </w:t>
      </w:r>
      <w:r>
        <w:rPr>
          <w:rFonts w:hint="eastAsia" w:ascii="宋体" w:hAnsi="宋体" w:eastAsia="宋体" w:cs="宋体"/>
          <w:color w:val="auto"/>
          <w:spacing w:val="6"/>
          <w:sz w:val="24"/>
          <w:u w:val="single"/>
          <w:lang w:eastAsia="zh-CN"/>
        </w:rPr>
        <w:t>仙居县城乡冷链物流设施项目—物流网点连接线工程（下各镇）</w:t>
      </w:r>
      <w:r>
        <w:rPr>
          <w:rFonts w:hint="eastAsia" w:ascii="宋体" w:hAnsi="宋体" w:cs="宋体"/>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378" w:firstLineChars="150"/>
        <w:textAlignment w:val="auto"/>
        <w:rPr>
          <w:rFonts w:hint="eastAsia" w:ascii="宋体" w:hAnsi="宋体" w:eastAsia="宋体" w:cs="宋体"/>
          <w:color w:val="auto"/>
          <w:sz w:val="24"/>
          <w:szCs w:val="24"/>
        </w:rPr>
      </w:pPr>
      <w:r>
        <w:rPr>
          <w:rFonts w:hint="eastAsia" w:ascii="宋体" w:hAnsi="宋体" w:cs="宋体"/>
          <w:color w:val="auto"/>
          <w:spacing w:val="6"/>
          <w:sz w:val="24"/>
        </w:rPr>
        <w:t>本单位对上述声明的真实性负责。如有虚假，将依法承担相应责任</w:t>
      </w:r>
      <w:r>
        <w:rPr>
          <w:rFonts w:hint="eastAsia" w:ascii="宋体" w:hAnsi="宋体" w:eastAsia="宋体" w:cs="宋体"/>
          <w:color w:val="auto"/>
          <w:sz w:val="24"/>
          <w:szCs w:val="24"/>
        </w:rPr>
        <w:t>。</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right="480" w:firstLine="4080" w:firstLineChars="17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w:t>
      </w:r>
      <w:r>
        <w:rPr>
          <w:rFonts w:hint="eastAsia" w:ascii="宋体" w:hAnsi="宋体" w:eastAsia="宋体" w:cs="宋体"/>
          <w:color w:val="auto"/>
          <w:sz w:val="24"/>
          <w:szCs w:val="24"/>
        </w:rPr>
        <w:t>（盖</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章）：</w:t>
      </w:r>
    </w:p>
    <w:p>
      <w:pPr>
        <w:spacing w:line="360" w:lineRule="auto"/>
        <w:ind w:firstLine="5760" w:firstLineChars="2400"/>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pStyle w:val="20"/>
        <w:widowControl w:val="0"/>
        <w:spacing w:before="0" w:beforeAutospacing="0" w:after="0" w:afterAutospacing="0" w:line="360" w:lineRule="auto"/>
        <w:ind w:right="360" w:firstLine="6000" w:firstLineChars="2500"/>
        <w:jc w:val="both"/>
        <w:rPr>
          <w:rFonts w:hint="eastAsia" w:ascii="宋体" w:hAnsi="宋体" w:eastAsia="宋体" w:cs="宋体"/>
          <w:color w:val="auto"/>
          <w:kern w:val="2"/>
          <w:sz w:val="24"/>
          <w:szCs w:val="24"/>
          <w:lang w:bidi="ar"/>
        </w:rPr>
      </w:pPr>
    </w:p>
    <w:p>
      <w:pPr>
        <w:pStyle w:val="43"/>
        <w:spacing w:after="120" w:line="360" w:lineRule="auto"/>
        <w:rPr>
          <w:rFonts w:hint="eastAsia" w:ascii="宋体" w:hAnsi="宋体" w:eastAsia="宋体" w:cs="宋体"/>
          <w:b/>
          <w:color w:val="auto"/>
          <w:sz w:val="24"/>
          <w:szCs w:val="24"/>
        </w:rPr>
      </w:pPr>
      <w:r>
        <w:rPr>
          <w:rFonts w:hint="eastAsia" w:ascii="宋体" w:hAnsi="宋体"/>
          <w:color w:val="auto"/>
          <w:sz w:val="24"/>
        </w:rPr>
        <w:t>－－－－－－－－－－－－－－－－－－－－－－－－－－－－－－－－－－－－－</w:t>
      </w: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4"/>
          <w:szCs w:val="24"/>
        </w:rPr>
      </w:pPr>
    </w:p>
    <w:p>
      <w:pPr>
        <w:jc w:val="center"/>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监狱企业</w:t>
      </w:r>
      <w:r>
        <w:rPr>
          <w:rFonts w:hint="eastAsia" w:ascii="宋体" w:hAnsi="宋体" w:eastAsia="宋体" w:cs="宋体"/>
          <w:b/>
          <w:bCs/>
          <w:color w:val="auto"/>
          <w:sz w:val="24"/>
          <w:szCs w:val="24"/>
        </w:rPr>
        <w:t>（如有）</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lang w:val="zh-CN"/>
        </w:rPr>
        <w:t>监狱企业参加政府采购活动时，应当提供由省级以上监狱管理局、戒毒管理局（含新疆生产建设兵团）出具的属于监狱企业的证明文件，</w:t>
      </w:r>
      <w:r>
        <w:rPr>
          <w:rFonts w:hint="eastAsia" w:ascii="宋体" w:hAnsi="宋体" w:cs="宋体"/>
          <w:b/>
          <w:bCs/>
          <w:color w:val="auto"/>
          <w:spacing w:val="6"/>
          <w:sz w:val="24"/>
          <w:u w:val="single"/>
          <w:lang w:val="zh-CN"/>
        </w:rPr>
        <w:t>视同小型、微型企业。</w:t>
      </w:r>
    </w:p>
    <w:p>
      <w:pPr>
        <w:pStyle w:val="10"/>
        <w:spacing w:line="360" w:lineRule="auto"/>
        <w:outlineLvl w:val="1"/>
        <w:rPr>
          <w:rFonts w:hint="eastAsia" w:ascii="宋体" w:hAnsi="宋体" w:eastAsia="宋体" w:cs="宋体"/>
          <w:b/>
          <w:color w:val="auto"/>
          <w:sz w:val="24"/>
          <w:szCs w:val="24"/>
        </w:rPr>
      </w:pPr>
    </w:p>
    <w:p>
      <w:pPr>
        <w:pStyle w:val="20"/>
        <w:widowControl w:val="0"/>
        <w:spacing w:before="0" w:beforeAutospacing="0" w:after="0" w:afterAutospacing="0" w:line="360" w:lineRule="auto"/>
        <w:ind w:right="360" w:firstLine="6300" w:firstLineChars="2500"/>
        <w:jc w:val="both"/>
        <w:rPr>
          <w:rFonts w:hint="eastAsia" w:ascii="宋体" w:hAnsi="宋体" w:eastAsia="宋体" w:cs="宋体"/>
          <w:color w:val="auto"/>
          <w:spacing w:val="6"/>
          <w:sz w:val="24"/>
          <w:szCs w:val="24"/>
        </w:rPr>
      </w:pP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5"/>
        <w:spacing w:line="360" w:lineRule="auto"/>
        <w:ind w:firstLine="0"/>
        <w:jc w:val="left"/>
        <w:rPr>
          <w:rFonts w:hint="eastAsia" w:ascii="宋体" w:hAnsi="宋体" w:eastAsia="宋体" w:cs="宋体"/>
          <w:b/>
          <w:bCs/>
          <w:color w:val="auto"/>
          <w:sz w:val="24"/>
          <w:szCs w:val="24"/>
          <w:lang w:eastAsia="zh-CN"/>
        </w:rPr>
      </w:pPr>
    </w:p>
    <w:p>
      <w:pPr>
        <w:pStyle w:val="3"/>
        <w:pageBreakBefore w:val="0"/>
        <w:widowControl w:val="0"/>
        <w:numPr>
          <w:ilvl w:val="0"/>
          <w:numId w:val="0"/>
        </w:numPr>
        <w:kinsoku/>
        <w:wordWrap/>
        <w:overflowPunct/>
        <w:topLinePunct w:val="0"/>
        <w:autoSpaceDE/>
        <w:autoSpaceDN/>
        <w:bidi w:val="0"/>
        <w:adjustRightInd/>
        <w:snapToGrid/>
        <w:spacing w:before="312" w:beforeLines="100" w:after="0" w:line="360" w:lineRule="auto"/>
        <w:ind w:leftChars="200" w:firstLine="2249" w:firstLineChars="700"/>
        <w:jc w:val="both"/>
        <w:textAlignment w:val="auto"/>
        <w:rPr>
          <w:rFonts w:ascii="宋体" w:hAnsi="宋体" w:eastAsia="宋体"/>
          <w:bCs w:val="0"/>
          <w:color w:val="auto"/>
          <w:lang w:val="zh-CN"/>
        </w:rPr>
      </w:pPr>
      <w:r>
        <w:rPr>
          <w:rFonts w:hint="eastAsia" w:ascii="宋体" w:hAnsi="宋体" w:eastAsia="宋体"/>
          <w:bCs w:val="0"/>
          <w:color w:val="auto"/>
          <w:lang w:val="en-US" w:eastAsia="zh-CN"/>
        </w:rPr>
        <w:t>2、</w:t>
      </w:r>
      <w:r>
        <w:rPr>
          <w:rFonts w:hint="eastAsia" w:ascii="宋体" w:hAnsi="宋体" w:eastAsia="宋体"/>
          <w:bCs w:val="0"/>
          <w:color w:val="auto"/>
          <w:lang w:val="zh-CN"/>
        </w:rPr>
        <w:t>商务与技术文件格式</w:t>
      </w:r>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32"/>
          <w:szCs w:val="32"/>
        </w:rPr>
      </w:pPr>
      <w:r>
        <w:rPr>
          <w:rFonts w:hint="eastAsia" w:ascii="宋体" w:hAnsi="宋体"/>
          <w:b/>
          <w:bCs/>
          <w:color w:val="auto"/>
          <w:sz w:val="32"/>
          <w:szCs w:val="32"/>
        </w:rPr>
        <w:t>目  录</w:t>
      </w:r>
    </w:p>
    <w:p>
      <w:pPr>
        <w:pStyle w:val="5"/>
        <w:spacing w:line="360" w:lineRule="auto"/>
        <w:ind w:firstLine="960" w:firstLineChars="400"/>
        <w:jc w:val="left"/>
        <w:rPr>
          <w:rFonts w:hint="eastAsia" w:ascii="宋体" w:hAnsi="宋体" w:eastAsia="宋体" w:cs="宋体"/>
          <w:b/>
          <w:bCs/>
          <w:color w:val="auto"/>
          <w:sz w:val="24"/>
          <w:szCs w:val="24"/>
          <w:lang w:eastAsia="zh-CN"/>
        </w:rPr>
      </w:pPr>
      <w:r>
        <w:rPr>
          <w:rFonts w:hint="eastAsia" w:ascii="宋体" w:hAnsi="宋体"/>
          <w:color w:val="auto"/>
          <w:sz w:val="24"/>
        </w:rPr>
        <w:t>（按照“第三</w:t>
      </w:r>
      <w:r>
        <w:rPr>
          <w:rFonts w:hint="eastAsia" w:ascii="宋体" w:hAnsi="宋体"/>
          <w:color w:val="auto"/>
          <w:sz w:val="24"/>
          <w:lang w:eastAsia="zh-CN"/>
        </w:rPr>
        <w:t>部分</w:t>
      </w:r>
      <w:r>
        <w:rPr>
          <w:rFonts w:hint="eastAsia" w:ascii="宋体" w:hAnsi="宋体"/>
          <w:color w:val="auto"/>
          <w:sz w:val="24"/>
        </w:rPr>
        <w:t xml:space="preserve"> 磋商须知”有关</w:t>
      </w:r>
      <w:r>
        <w:rPr>
          <w:rFonts w:hint="eastAsia" w:ascii="宋体" w:hAnsi="宋体"/>
          <w:color w:val="auto"/>
          <w:sz w:val="24"/>
          <w:lang w:val="zh-CN"/>
        </w:rPr>
        <w:t>商务与技术文件组成</w:t>
      </w:r>
      <w:r>
        <w:rPr>
          <w:rFonts w:hint="eastAsia" w:ascii="宋体" w:hAnsi="宋体"/>
          <w:color w:val="auto"/>
          <w:sz w:val="24"/>
        </w:rPr>
        <w:t>要求编排）</w:t>
      </w:r>
    </w:p>
    <w:p>
      <w:pPr>
        <w:keepNext w:val="0"/>
        <w:keepLines w:val="0"/>
        <w:pageBreakBefore w:val="0"/>
        <w:widowControl w:val="0"/>
        <w:kinsoku/>
        <w:wordWrap/>
        <w:overflowPunct/>
        <w:topLinePunct w:val="0"/>
        <w:autoSpaceDE/>
        <w:autoSpaceDN/>
        <w:bidi w:val="0"/>
        <w:spacing w:line="360" w:lineRule="auto"/>
        <w:ind w:firstLine="5760" w:firstLineChars="2400"/>
        <w:jc w:val="left"/>
        <w:textAlignment w:val="auto"/>
        <w:rPr>
          <w:rFonts w:hint="eastAsia" w:ascii="宋体" w:hAnsi="宋体" w:cs="宋体"/>
          <w:color w:val="auto"/>
          <w:sz w:val="24"/>
        </w:rPr>
      </w:pPr>
    </w:p>
    <w:p>
      <w:pPr>
        <w:pStyle w:val="10"/>
        <w:adjustRightInd w:val="0"/>
        <w:snapToGrid w:val="0"/>
        <w:spacing w:before="120" w:after="120"/>
        <w:rPr>
          <w:rFonts w:hint="eastAsia" w:ascii="宋体" w:hAnsi="宋体" w:eastAsia="宋体" w:cs="宋体"/>
          <w:b/>
          <w:bCs/>
          <w:color w:val="auto"/>
          <w:sz w:val="24"/>
          <w:szCs w:val="24"/>
          <w:lang w:eastAsia="zh-CN"/>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center"/>
        <w:rPr>
          <w:rFonts w:hint="eastAsia" w:ascii="宋体" w:hAnsi="宋体" w:eastAsia="宋体" w:cs="宋体"/>
          <w:b/>
          <w:bCs/>
          <w:color w:val="auto"/>
          <w:sz w:val="24"/>
          <w:szCs w:val="24"/>
        </w:rPr>
      </w:pPr>
    </w:p>
    <w:p>
      <w:pPr>
        <w:pStyle w:val="10"/>
        <w:adjustRightInd w:val="0"/>
        <w:snapToGrid w:val="0"/>
        <w:spacing w:before="120" w:after="120"/>
        <w:jc w:val="left"/>
        <w:rPr>
          <w:rFonts w:hint="eastAsia" w:hAnsi="宋体" w:eastAsia="宋体" w:cs="宋体"/>
          <w:b/>
          <w:bCs/>
          <w:color w:val="auto"/>
          <w:sz w:val="24"/>
          <w:szCs w:val="24"/>
          <w:lang w:eastAsia="zh-CN"/>
        </w:rPr>
      </w:pPr>
    </w:p>
    <w:p>
      <w:pPr>
        <w:snapToGrid w:val="0"/>
        <w:jc w:val="left"/>
        <w:rPr>
          <w:rFonts w:hint="eastAsia" w:ascii="宋体" w:hAnsi="宋体" w:eastAsia="宋体" w:cs="宋体"/>
          <w:color w:val="auto"/>
          <w:sz w:val="24"/>
          <w:szCs w:val="24"/>
        </w:rPr>
      </w:pPr>
    </w:p>
    <w:p>
      <w:pPr>
        <w:pStyle w:val="10"/>
        <w:spacing w:line="360" w:lineRule="auto"/>
        <w:outlineLvl w:val="1"/>
        <w:rPr>
          <w:rFonts w:hint="eastAsia" w:ascii="宋体" w:hAnsi="宋体" w:eastAsia="宋体" w:cs="宋体"/>
          <w:b/>
          <w:color w:val="auto"/>
          <w:sz w:val="24"/>
          <w:szCs w:val="24"/>
        </w:rPr>
      </w:pPr>
    </w:p>
    <w:p>
      <w:pPr>
        <w:pStyle w:val="10"/>
        <w:spacing w:line="360" w:lineRule="auto"/>
        <w:outlineLvl w:val="1"/>
        <w:rPr>
          <w:rFonts w:hint="eastAsia" w:ascii="宋体" w:hAnsi="宋体" w:eastAsia="宋体" w:cs="宋体"/>
          <w:b/>
          <w:color w:val="auto"/>
          <w:sz w:val="21"/>
          <w:szCs w:val="21"/>
        </w:rPr>
      </w:pPr>
    </w:p>
    <w:p>
      <w:pPr>
        <w:pStyle w:val="10"/>
        <w:spacing w:line="360" w:lineRule="auto"/>
        <w:outlineLvl w:val="1"/>
        <w:rPr>
          <w:rFonts w:hint="eastAsia" w:ascii="宋体" w:hAnsi="宋体" w:eastAsia="宋体" w:cs="宋体"/>
          <w:b/>
          <w:color w:val="auto"/>
          <w:sz w:val="21"/>
          <w:szCs w:val="21"/>
        </w:rPr>
      </w:pPr>
    </w:p>
    <w:p>
      <w:pPr>
        <w:pStyle w:val="11"/>
        <w:rPr>
          <w:rFonts w:hint="eastAsia"/>
          <w:color w:val="auto"/>
        </w:rPr>
      </w:pPr>
    </w:p>
    <w:p>
      <w:pPr>
        <w:pStyle w:val="42"/>
        <w:spacing w:line="360" w:lineRule="auto"/>
        <w:jc w:val="both"/>
        <w:rPr>
          <w:rFonts w:hint="eastAsia" w:ascii="宋体" w:hAnsi="宋体" w:eastAsia="宋体" w:cs="宋体"/>
          <w:b/>
          <w:bCs/>
          <w:color w:val="auto"/>
          <w:sz w:val="24"/>
          <w:szCs w:val="24"/>
        </w:rPr>
      </w:pPr>
    </w:p>
    <w:p>
      <w:pPr>
        <w:pStyle w:val="42"/>
        <w:spacing w:line="360" w:lineRule="auto"/>
        <w:jc w:val="both"/>
        <w:rPr>
          <w:rFonts w:hint="eastAsia" w:ascii="宋体" w:hAnsi="宋体"/>
          <w:b/>
          <w:color w:val="auto"/>
          <w:sz w:val="28"/>
          <w:szCs w:val="28"/>
        </w:rPr>
      </w:pPr>
      <w:r>
        <w:rPr>
          <w:rFonts w:hint="eastAsia" w:ascii="宋体" w:hAnsi="宋体" w:eastAsia="宋体" w:cs="宋体"/>
          <w:b/>
          <w:bCs/>
          <w:color w:val="auto"/>
          <w:sz w:val="24"/>
          <w:szCs w:val="24"/>
        </w:rPr>
        <w:t>附件</w:t>
      </w:r>
      <w:r>
        <w:rPr>
          <w:rFonts w:hint="eastAsia" w:hAnsi="宋体" w:cs="宋体"/>
          <w:b/>
          <w:bCs/>
          <w:color w:val="auto"/>
          <w:sz w:val="24"/>
          <w:szCs w:val="24"/>
          <w:lang w:val="en-US" w:eastAsia="zh-CN"/>
        </w:rPr>
        <w:t>七</w:t>
      </w:r>
      <w:r>
        <w:rPr>
          <w:rFonts w:hint="eastAsia" w:ascii="宋体" w:hAnsi="宋体" w:eastAsia="宋体" w:cs="宋体"/>
          <w:b/>
          <w:bCs/>
          <w:color w:val="auto"/>
          <w:sz w:val="24"/>
          <w:szCs w:val="24"/>
        </w:rPr>
        <w:t>：</w:t>
      </w:r>
    </w:p>
    <w:p>
      <w:pPr>
        <w:pStyle w:val="2"/>
        <w:spacing w:before="0" w:after="0" w:line="360" w:lineRule="auto"/>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供应商情况介绍</w:t>
      </w:r>
    </w:p>
    <w:tbl>
      <w:tblPr>
        <w:tblStyle w:val="2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77"/>
        <w:gridCol w:w="1043"/>
        <w:gridCol w:w="1043"/>
        <w:gridCol w:w="1179"/>
        <w:gridCol w:w="2218"/>
        <w:gridCol w:w="78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27"/>
                <w:sz w:val="21"/>
                <w:szCs w:val="21"/>
              </w:rPr>
              <w:t>企业名称</w:t>
            </w:r>
          </w:p>
        </w:tc>
        <w:tc>
          <w:tcPr>
            <w:tcW w:w="4042" w:type="dxa"/>
            <w:gridSpan w:val="4"/>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p>
        </w:tc>
        <w:tc>
          <w:tcPr>
            <w:tcW w:w="2218"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16"/>
                <w:sz w:val="21"/>
                <w:szCs w:val="21"/>
              </w:rPr>
              <w:t>法人代表</w:t>
            </w:r>
          </w:p>
        </w:tc>
        <w:tc>
          <w:tcPr>
            <w:tcW w:w="1959" w:type="dxa"/>
            <w:gridSpan w:val="2"/>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27"/>
                <w:sz w:val="21"/>
                <w:szCs w:val="21"/>
              </w:rPr>
              <w:t>地址</w:t>
            </w:r>
          </w:p>
        </w:tc>
        <w:tc>
          <w:tcPr>
            <w:tcW w:w="4042" w:type="dxa"/>
            <w:gridSpan w:val="4"/>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2218" w:type="dxa"/>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16"/>
                <w:sz w:val="21"/>
                <w:szCs w:val="21"/>
              </w:rPr>
              <w:t>企业性质</w:t>
            </w:r>
          </w:p>
        </w:tc>
        <w:tc>
          <w:tcPr>
            <w:tcW w:w="1959" w:type="dxa"/>
            <w:gridSpan w:val="2"/>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80" w:type="dxa"/>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27"/>
                <w:sz w:val="21"/>
                <w:szCs w:val="21"/>
              </w:rPr>
              <w:t>股东姓名</w:t>
            </w:r>
          </w:p>
        </w:tc>
        <w:tc>
          <w:tcPr>
            <w:tcW w:w="777" w:type="dxa"/>
            <w:tcBorders>
              <w:bottom w:val="single" w:color="auto" w:sz="4" w:space="0"/>
            </w:tcBorders>
            <w:noWrap w:val="0"/>
            <w:vAlign w:val="top"/>
          </w:tcPr>
          <w:p>
            <w:pPr>
              <w:pStyle w:val="52"/>
              <w:keepNext w:val="0"/>
              <w:keepLines w:val="0"/>
              <w:suppressLineNumbers w:val="0"/>
              <w:shd w:val="clear" w:color="auto" w:fill="auto"/>
              <w:spacing w:before="0" w:beforeAutospacing="0" w:after="0" w:afterAutospacing="0" w:line="240" w:lineRule="auto"/>
              <w:ind w:left="0" w:right="0"/>
              <w:rPr>
                <w:rFonts w:hint="default"/>
                <w:bCs/>
                <w:color w:val="000000"/>
                <w:spacing w:val="16"/>
                <w:sz w:val="21"/>
                <w:szCs w:val="21"/>
              </w:rPr>
            </w:pPr>
          </w:p>
        </w:tc>
        <w:tc>
          <w:tcPr>
            <w:tcW w:w="1043" w:type="dxa"/>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16"/>
                <w:sz w:val="21"/>
                <w:szCs w:val="21"/>
              </w:rPr>
              <w:t>股权结构（%）</w:t>
            </w:r>
          </w:p>
        </w:tc>
        <w:tc>
          <w:tcPr>
            <w:tcW w:w="2222" w:type="dxa"/>
            <w:gridSpan w:val="2"/>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2218" w:type="dxa"/>
            <w:noWrap w:val="0"/>
            <w:vAlign w:val="top"/>
          </w:tcPr>
          <w:p>
            <w:pPr>
              <w:pStyle w:val="52"/>
              <w:keepNext w:val="0"/>
              <w:keepLines w:val="0"/>
              <w:suppressLineNumbers w:val="0"/>
              <w:shd w:val="clear" w:color="auto" w:fill="auto"/>
              <w:spacing w:line="240" w:lineRule="auto"/>
              <w:ind w:left="107" w:right="0"/>
              <w:rPr>
                <w:rFonts w:hint="default"/>
                <w:bCs/>
                <w:color w:val="000000"/>
                <w:spacing w:val="16"/>
                <w:sz w:val="21"/>
                <w:szCs w:val="21"/>
              </w:rPr>
            </w:pPr>
            <w:r>
              <w:rPr>
                <w:rFonts w:hint="eastAsia"/>
                <w:bCs/>
                <w:color w:val="000000"/>
                <w:spacing w:val="16"/>
                <w:sz w:val="21"/>
                <w:szCs w:val="21"/>
              </w:rPr>
              <w:t>股东关系</w:t>
            </w:r>
          </w:p>
        </w:tc>
        <w:tc>
          <w:tcPr>
            <w:tcW w:w="1959" w:type="dxa"/>
            <w:gridSpan w:val="2"/>
            <w:noWrap w:val="0"/>
            <w:vAlign w:val="top"/>
          </w:tcPr>
          <w:p>
            <w:pPr>
              <w:pStyle w:val="52"/>
              <w:keepNext w:val="0"/>
              <w:keepLines w:val="0"/>
              <w:suppressLineNumbers w:val="0"/>
              <w:shd w:val="clear" w:color="auto" w:fill="auto"/>
              <w:spacing w:line="240" w:lineRule="auto"/>
              <w:ind w:left="107"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80" w:type="dxa"/>
            <w:vMerge w:val="restart"/>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12"/>
                <w:sz w:val="21"/>
                <w:szCs w:val="21"/>
              </w:rPr>
              <w:t>联系人</w:t>
            </w:r>
            <w:r>
              <w:rPr>
                <w:rFonts w:hint="eastAsia"/>
                <w:bCs/>
                <w:color w:val="000000"/>
                <w:spacing w:val="27"/>
                <w:sz w:val="21"/>
                <w:szCs w:val="21"/>
              </w:rPr>
              <w:t>姓名</w:t>
            </w:r>
          </w:p>
        </w:tc>
        <w:tc>
          <w:tcPr>
            <w:tcW w:w="777" w:type="dxa"/>
            <w:vMerge w:val="restart"/>
            <w:tcBorders>
              <w:top w:val="nil"/>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1043" w:type="dxa"/>
            <w:tcBorders>
              <w:top w:val="nil"/>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16"/>
                <w:sz w:val="21"/>
                <w:szCs w:val="21"/>
              </w:rPr>
              <w:t>固定电话</w:t>
            </w:r>
          </w:p>
        </w:tc>
        <w:tc>
          <w:tcPr>
            <w:tcW w:w="2222" w:type="dxa"/>
            <w:gridSpan w:val="2"/>
            <w:tcBorders>
              <w:top w:val="nil"/>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2218" w:type="dxa"/>
            <w:vMerge w:val="restart"/>
            <w:noWrap w:val="0"/>
            <w:vAlign w:val="top"/>
          </w:tcPr>
          <w:p>
            <w:pPr>
              <w:pStyle w:val="52"/>
              <w:keepNext w:val="0"/>
              <w:keepLines w:val="0"/>
              <w:suppressLineNumbers w:val="0"/>
              <w:shd w:val="clear" w:color="auto" w:fill="auto"/>
              <w:spacing w:before="0" w:beforeAutospacing="0" w:after="0" w:afterAutospacing="0" w:line="240" w:lineRule="auto"/>
              <w:ind w:left="0" w:right="0"/>
              <w:rPr>
                <w:rFonts w:hint="default"/>
                <w:bCs/>
                <w:color w:val="000000"/>
                <w:spacing w:val="16"/>
                <w:sz w:val="21"/>
                <w:szCs w:val="21"/>
              </w:rPr>
            </w:pPr>
            <w:r>
              <w:rPr>
                <w:rFonts w:hint="eastAsia"/>
                <w:bCs/>
                <w:color w:val="000000"/>
                <w:spacing w:val="16"/>
                <w:sz w:val="21"/>
                <w:szCs w:val="21"/>
              </w:rPr>
              <w:t>传真</w:t>
            </w:r>
          </w:p>
        </w:tc>
        <w:tc>
          <w:tcPr>
            <w:tcW w:w="1959" w:type="dxa"/>
            <w:gridSpan w:val="2"/>
            <w:vMerge w:val="restart"/>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0" w:type="dxa"/>
            <w:vMerge w:val="continue"/>
            <w:tcBorders>
              <w:bottom w:val="single" w:color="auto" w:sz="4" w:space="0"/>
            </w:tcBorders>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c>
          <w:tcPr>
            <w:tcW w:w="777" w:type="dxa"/>
            <w:vMerge w:val="continue"/>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1043" w:type="dxa"/>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27"/>
                <w:sz w:val="21"/>
                <w:szCs w:val="21"/>
              </w:rPr>
              <w:t>手机</w:t>
            </w:r>
          </w:p>
        </w:tc>
        <w:tc>
          <w:tcPr>
            <w:tcW w:w="2222" w:type="dxa"/>
            <w:gridSpan w:val="2"/>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2218" w:type="dxa"/>
            <w:vMerge w:val="continue"/>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1959" w:type="dxa"/>
            <w:gridSpan w:val="2"/>
            <w:vMerge w:val="continue"/>
            <w:tcBorders>
              <w:bottom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180" w:type="dxa"/>
            <w:vMerge w:val="restart"/>
            <w:tcBorders>
              <w:top w:val="single" w:color="auto" w:sz="4" w:space="0"/>
            </w:tcBorders>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r>
              <w:rPr>
                <w:rFonts w:hint="default"/>
                <w:bCs/>
                <w:color w:val="000000"/>
                <w:sz w:val="21"/>
                <w:szCs w:val="21"/>
              </w:rPr>
              <w:t>1</w:t>
            </w:r>
            <w:r>
              <w:rPr>
                <w:rFonts w:hint="eastAsia"/>
                <w:bCs/>
                <w:color w:val="000000"/>
                <w:sz w:val="21"/>
                <w:szCs w:val="21"/>
              </w:rPr>
              <w:t>.</w:t>
            </w:r>
          </w:p>
          <w:p>
            <w:pPr>
              <w:pStyle w:val="52"/>
              <w:keepNext w:val="0"/>
              <w:keepLines w:val="0"/>
              <w:suppressLineNumbers w:val="0"/>
              <w:shd w:val="clear" w:color="auto" w:fill="auto"/>
              <w:spacing w:line="240" w:lineRule="auto"/>
              <w:ind w:left="107" w:right="0"/>
              <w:rPr>
                <w:rFonts w:hint="default"/>
                <w:bCs/>
                <w:color w:val="000000"/>
                <w:sz w:val="21"/>
                <w:szCs w:val="21"/>
              </w:rPr>
            </w:pPr>
            <w:r>
              <w:rPr>
                <w:rFonts w:hint="eastAsia"/>
                <w:bCs/>
                <w:color w:val="000000"/>
                <w:sz w:val="21"/>
                <w:szCs w:val="21"/>
              </w:rPr>
              <w:t>企</w:t>
            </w:r>
          </w:p>
          <w:p>
            <w:pPr>
              <w:pStyle w:val="52"/>
              <w:keepNext w:val="0"/>
              <w:keepLines w:val="0"/>
              <w:suppressLineNumbers w:val="0"/>
              <w:shd w:val="clear" w:color="auto" w:fill="auto"/>
              <w:spacing w:line="240" w:lineRule="auto"/>
              <w:ind w:left="107" w:right="0"/>
              <w:rPr>
                <w:rFonts w:hint="default"/>
                <w:bCs/>
                <w:color w:val="000000"/>
                <w:sz w:val="21"/>
                <w:szCs w:val="21"/>
              </w:rPr>
            </w:pPr>
            <w:r>
              <w:rPr>
                <w:rFonts w:hint="eastAsia"/>
                <w:bCs/>
                <w:color w:val="000000"/>
                <w:sz w:val="21"/>
                <w:szCs w:val="21"/>
              </w:rPr>
              <w:t>业</w:t>
            </w:r>
          </w:p>
          <w:p>
            <w:pPr>
              <w:pStyle w:val="52"/>
              <w:keepNext w:val="0"/>
              <w:keepLines w:val="0"/>
              <w:suppressLineNumbers w:val="0"/>
              <w:shd w:val="clear" w:color="auto" w:fill="auto"/>
              <w:spacing w:line="240" w:lineRule="auto"/>
              <w:ind w:left="107" w:right="0"/>
              <w:rPr>
                <w:rFonts w:hint="default"/>
                <w:bCs/>
                <w:color w:val="000000"/>
                <w:spacing w:val="27"/>
                <w:sz w:val="21"/>
                <w:szCs w:val="21"/>
              </w:rPr>
            </w:pPr>
            <w:r>
              <w:rPr>
                <w:rFonts w:hint="eastAsia"/>
                <w:bCs/>
                <w:color w:val="000000"/>
                <w:spacing w:val="27"/>
                <w:sz w:val="21"/>
                <w:szCs w:val="21"/>
              </w:rPr>
              <w:t>概</w:t>
            </w:r>
          </w:p>
          <w:p>
            <w:pPr>
              <w:pStyle w:val="52"/>
              <w:keepNext w:val="0"/>
              <w:keepLines w:val="0"/>
              <w:suppressLineNumbers w:val="0"/>
              <w:shd w:val="clear" w:color="auto" w:fill="auto"/>
              <w:spacing w:line="240" w:lineRule="auto"/>
              <w:ind w:left="107" w:right="0"/>
              <w:rPr>
                <w:rFonts w:hint="default"/>
                <w:bCs/>
                <w:color w:val="000000"/>
                <w:sz w:val="21"/>
                <w:szCs w:val="21"/>
              </w:rPr>
            </w:pPr>
            <w:r>
              <w:rPr>
                <w:rFonts w:hint="eastAsia"/>
                <w:bCs/>
                <w:color w:val="000000"/>
                <w:spacing w:val="27"/>
                <w:sz w:val="21"/>
                <w:szCs w:val="21"/>
              </w:rPr>
              <w:t>况</w:t>
            </w:r>
          </w:p>
        </w:tc>
        <w:tc>
          <w:tcPr>
            <w:tcW w:w="777" w:type="dxa"/>
            <w:tcBorders>
              <w:top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16"/>
                <w:sz w:val="21"/>
                <w:szCs w:val="21"/>
              </w:rPr>
              <w:t>职工人数</w:t>
            </w:r>
          </w:p>
        </w:tc>
        <w:tc>
          <w:tcPr>
            <w:tcW w:w="1043" w:type="dxa"/>
            <w:tcBorders>
              <w:top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1043" w:type="dxa"/>
            <w:tcBorders>
              <w:top w:val="single" w:color="auto" w:sz="4" w:space="0"/>
            </w:tcBorders>
            <w:noWrap w:val="0"/>
            <w:vAlign w:val="top"/>
          </w:tcPr>
          <w:p>
            <w:pPr>
              <w:pStyle w:val="52"/>
              <w:keepNext w:val="0"/>
              <w:keepLines w:val="0"/>
              <w:suppressLineNumbers w:val="0"/>
              <w:shd w:val="clear" w:color="auto" w:fill="auto"/>
              <w:spacing w:before="0" w:beforeAutospacing="0" w:after="0" w:afterAutospacing="0" w:line="240" w:lineRule="auto"/>
              <w:ind w:left="0" w:right="0"/>
              <w:rPr>
                <w:rFonts w:hint="default"/>
                <w:bCs/>
                <w:color w:val="000000"/>
                <w:sz w:val="21"/>
                <w:szCs w:val="21"/>
              </w:rPr>
            </w:pPr>
            <w:r>
              <w:rPr>
                <w:rFonts w:hint="eastAsia"/>
                <w:bCs/>
                <w:color w:val="000000"/>
                <w:spacing w:val="18"/>
                <w:sz w:val="21"/>
                <w:szCs w:val="21"/>
              </w:rPr>
              <w:t>具备大专以</w:t>
            </w:r>
            <w:r>
              <w:rPr>
                <w:rFonts w:hint="eastAsia"/>
                <w:bCs/>
                <w:color w:val="000000"/>
                <w:spacing w:val="12"/>
                <w:sz w:val="21"/>
                <w:szCs w:val="21"/>
              </w:rPr>
              <w:t>上学历人数</w:t>
            </w:r>
          </w:p>
        </w:tc>
        <w:tc>
          <w:tcPr>
            <w:tcW w:w="1179" w:type="dxa"/>
            <w:tcBorders>
              <w:top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c>
          <w:tcPr>
            <w:tcW w:w="2218" w:type="dxa"/>
            <w:tcBorders>
              <w:top w:val="single" w:color="auto" w:sz="4" w:space="0"/>
            </w:tcBorders>
            <w:noWrap w:val="0"/>
            <w:vAlign w:val="top"/>
          </w:tcPr>
          <w:p>
            <w:pPr>
              <w:pStyle w:val="52"/>
              <w:keepNext w:val="0"/>
              <w:keepLines w:val="0"/>
              <w:suppressLineNumbers w:val="0"/>
              <w:shd w:val="clear" w:color="auto" w:fill="auto"/>
              <w:spacing w:line="240" w:lineRule="auto"/>
              <w:ind w:left="0" w:right="0"/>
              <w:rPr>
                <w:rFonts w:hint="default"/>
                <w:bCs/>
                <w:color w:val="000000"/>
                <w:spacing w:val="16"/>
                <w:sz w:val="21"/>
                <w:szCs w:val="21"/>
              </w:rPr>
            </w:pPr>
            <w:r>
              <w:rPr>
                <w:rFonts w:hint="eastAsia"/>
                <w:bCs/>
                <w:color w:val="000000"/>
                <w:spacing w:val="65"/>
                <w:sz w:val="21"/>
                <w:szCs w:val="21"/>
              </w:rPr>
              <w:t>国家授予技</w:t>
            </w:r>
            <w:r>
              <w:rPr>
                <w:rFonts w:hint="eastAsia"/>
                <w:bCs/>
                <w:color w:val="000000"/>
                <w:spacing w:val="12"/>
                <w:sz w:val="21"/>
                <w:szCs w:val="21"/>
              </w:rPr>
              <w:t>术职称人数</w:t>
            </w:r>
          </w:p>
        </w:tc>
        <w:tc>
          <w:tcPr>
            <w:tcW w:w="1959" w:type="dxa"/>
            <w:gridSpan w:val="2"/>
            <w:tcBorders>
              <w:top w:val="single" w:color="auto" w:sz="4" w:space="0"/>
            </w:tcBorders>
            <w:noWrap w:val="0"/>
            <w:vAlign w:val="top"/>
          </w:tcPr>
          <w:p>
            <w:pPr>
              <w:keepNext w:val="0"/>
              <w:keepLines w:val="0"/>
              <w:widowControl/>
              <w:suppressLineNumbers w:val="0"/>
              <w:shd w:val="clear" w:color="auto" w:fill="auto"/>
              <w:spacing w:before="0" w:beforeAutospacing="0" w:after="0" w:afterAutospacing="0" w:line="240" w:lineRule="auto"/>
              <w:ind w:left="0" w:right="0"/>
              <w:jc w:val="left"/>
              <w:rPr>
                <w:rFonts w:hint="default" w:ascii="宋体" w:hAnsi="宋体" w:cs="宋体"/>
                <w:bCs/>
                <w:color w:val="000000"/>
                <w:spacing w:val="16"/>
                <w:kern w:val="0"/>
                <w:szCs w:val="21"/>
              </w:rPr>
            </w:pPr>
          </w:p>
          <w:p>
            <w:pPr>
              <w:pStyle w:val="52"/>
              <w:keepNext w:val="0"/>
              <w:keepLines w:val="0"/>
              <w:suppressLineNumbers w:val="0"/>
              <w:shd w:val="clear" w:color="auto" w:fill="auto"/>
              <w:spacing w:line="240" w:lineRule="auto"/>
              <w:ind w:left="0"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180" w:type="dxa"/>
            <w:vMerge w:val="continue"/>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c>
          <w:tcPr>
            <w:tcW w:w="777"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16"/>
                <w:sz w:val="21"/>
                <w:szCs w:val="21"/>
              </w:rPr>
              <w:t>占地面积</w:t>
            </w:r>
          </w:p>
        </w:tc>
        <w:tc>
          <w:tcPr>
            <w:tcW w:w="1043"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p>
        </w:tc>
        <w:tc>
          <w:tcPr>
            <w:tcW w:w="1043"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16"/>
                <w:sz w:val="21"/>
                <w:szCs w:val="21"/>
              </w:rPr>
              <w:t>建筑面积</w:t>
            </w:r>
          </w:p>
        </w:tc>
        <w:tc>
          <w:tcPr>
            <w:tcW w:w="1179" w:type="dxa"/>
            <w:noWrap w:val="0"/>
            <w:vAlign w:val="top"/>
          </w:tcPr>
          <w:p>
            <w:pPr>
              <w:pStyle w:val="52"/>
              <w:keepNext w:val="0"/>
              <w:keepLines w:val="0"/>
              <w:suppressLineNumbers w:val="0"/>
              <w:shd w:val="clear" w:color="auto" w:fill="auto"/>
              <w:spacing w:line="240" w:lineRule="auto"/>
              <w:ind w:left="0" w:right="0"/>
              <w:rPr>
                <w:rFonts w:hint="eastAsia"/>
                <w:bCs/>
                <w:color w:val="000000"/>
                <w:sz w:val="21"/>
                <w:szCs w:val="21"/>
              </w:rPr>
            </w:pPr>
            <w:r>
              <w:rPr>
                <w:rFonts w:hint="eastAsia"/>
                <w:bCs/>
                <w:color w:val="000000"/>
                <w:sz w:val="21"/>
                <w:szCs w:val="21"/>
              </w:rPr>
              <w:t xml:space="preserve">平方米 </w:t>
            </w:r>
          </w:p>
          <w:p>
            <w:pPr>
              <w:pStyle w:val="52"/>
              <w:keepNext w:val="0"/>
              <w:keepLines w:val="0"/>
              <w:suppressLineNumbers w:val="0"/>
              <w:shd w:val="clear" w:color="auto" w:fill="auto"/>
              <w:spacing w:line="240" w:lineRule="auto"/>
              <w:ind w:left="0" w:right="0"/>
              <w:rPr>
                <w:rFonts w:hint="eastAsia"/>
                <w:bCs/>
                <w:color w:val="000000"/>
                <w:spacing w:val="16"/>
                <w:sz w:val="21"/>
                <w:szCs w:val="21"/>
              </w:rPr>
            </w:pPr>
            <w:r>
              <w:rPr>
                <w:rFonts w:hint="eastAsia"/>
                <w:bCs/>
                <w:color w:val="000000"/>
                <w:spacing w:val="16"/>
                <w:sz w:val="21"/>
                <w:szCs w:val="21"/>
              </w:rPr>
              <w:sym w:font="Wingdings 2" w:char="00A3"/>
            </w:r>
            <w:r>
              <w:rPr>
                <w:rFonts w:hint="eastAsia"/>
                <w:bCs/>
                <w:color w:val="000000"/>
                <w:spacing w:val="16"/>
                <w:sz w:val="21"/>
                <w:szCs w:val="21"/>
              </w:rPr>
              <w:t>自有</w:t>
            </w:r>
          </w:p>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16"/>
                <w:sz w:val="21"/>
                <w:szCs w:val="21"/>
              </w:rPr>
              <w:sym w:font="Wingdings 2" w:char="00A3"/>
            </w:r>
            <w:r>
              <w:rPr>
                <w:rFonts w:hint="eastAsia"/>
                <w:bCs/>
                <w:color w:val="000000"/>
                <w:spacing w:val="16"/>
                <w:sz w:val="21"/>
                <w:szCs w:val="21"/>
              </w:rPr>
              <w:t>租賃</w:t>
            </w:r>
          </w:p>
        </w:tc>
        <w:tc>
          <w:tcPr>
            <w:tcW w:w="2218" w:type="dxa"/>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r>
              <w:rPr>
                <w:rFonts w:hint="eastAsia"/>
                <w:bCs/>
                <w:color w:val="000000"/>
                <w:spacing w:val="16"/>
                <w:sz w:val="21"/>
                <w:szCs w:val="21"/>
              </w:rPr>
              <w:t>生产经营场所及场所的设施与设备</w:t>
            </w:r>
          </w:p>
        </w:tc>
        <w:tc>
          <w:tcPr>
            <w:tcW w:w="1959" w:type="dxa"/>
            <w:gridSpan w:val="2"/>
            <w:noWrap w:val="0"/>
            <w:vAlign w:val="top"/>
          </w:tcPr>
          <w:p>
            <w:pPr>
              <w:pStyle w:val="52"/>
              <w:keepNext w:val="0"/>
              <w:keepLines w:val="0"/>
              <w:suppressLineNumbers w:val="0"/>
              <w:shd w:val="clear" w:color="auto" w:fill="auto"/>
              <w:spacing w:before="0" w:beforeAutospacing="0" w:after="0" w:afterAutospacing="0" w:line="240" w:lineRule="auto"/>
              <w:ind w:left="0" w:right="0"/>
              <w:rPr>
                <w:rFonts w:hint="default"/>
                <w:bCs/>
                <w:color w:val="000000"/>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180" w:type="dxa"/>
            <w:vMerge w:val="continue"/>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c>
          <w:tcPr>
            <w:tcW w:w="777" w:type="dxa"/>
            <w:noWrap w:val="0"/>
            <w:vAlign w:val="top"/>
          </w:tcPr>
          <w:p>
            <w:pPr>
              <w:pStyle w:val="52"/>
              <w:keepNext w:val="0"/>
              <w:keepLines w:val="0"/>
              <w:suppressLineNumbers w:val="0"/>
              <w:shd w:val="clear" w:color="auto" w:fill="auto"/>
              <w:spacing w:line="240" w:lineRule="auto"/>
              <w:ind w:left="2" w:right="0"/>
              <w:rPr>
                <w:rFonts w:hint="default"/>
                <w:bCs/>
                <w:color w:val="000000"/>
                <w:spacing w:val="16"/>
                <w:sz w:val="21"/>
                <w:szCs w:val="21"/>
              </w:rPr>
            </w:pPr>
            <w:r>
              <w:rPr>
                <w:rFonts w:hint="eastAsia"/>
                <w:bCs/>
                <w:color w:val="000000"/>
                <w:spacing w:val="16"/>
                <w:sz w:val="21"/>
                <w:szCs w:val="21"/>
              </w:rPr>
              <w:t>注册资金</w:t>
            </w:r>
          </w:p>
        </w:tc>
        <w:tc>
          <w:tcPr>
            <w:tcW w:w="1043" w:type="dxa"/>
            <w:noWrap w:val="0"/>
            <w:vAlign w:val="top"/>
          </w:tcPr>
          <w:p>
            <w:pPr>
              <w:pStyle w:val="52"/>
              <w:keepNext w:val="0"/>
              <w:keepLines w:val="0"/>
              <w:suppressLineNumbers w:val="0"/>
              <w:shd w:val="clear" w:color="auto" w:fill="auto"/>
              <w:spacing w:line="240" w:lineRule="auto"/>
              <w:ind w:left="2" w:right="0"/>
              <w:rPr>
                <w:rFonts w:hint="default"/>
                <w:bCs/>
                <w:color w:val="000000"/>
                <w:sz w:val="21"/>
                <w:szCs w:val="21"/>
              </w:rPr>
            </w:pPr>
          </w:p>
        </w:tc>
        <w:tc>
          <w:tcPr>
            <w:tcW w:w="1043" w:type="dxa"/>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r>
              <w:rPr>
                <w:rFonts w:hint="eastAsia"/>
                <w:bCs/>
                <w:color w:val="000000"/>
                <w:spacing w:val="16"/>
                <w:sz w:val="21"/>
                <w:szCs w:val="21"/>
              </w:rPr>
              <w:t>注册发证</w:t>
            </w:r>
            <w:r>
              <w:rPr>
                <w:rFonts w:hint="eastAsia"/>
                <w:bCs/>
                <w:color w:val="000000"/>
                <w:spacing w:val="27"/>
                <w:sz w:val="21"/>
                <w:szCs w:val="21"/>
              </w:rPr>
              <w:t>机关</w:t>
            </w:r>
          </w:p>
        </w:tc>
        <w:tc>
          <w:tcPr>
            <w:tcW w:w="3397" w:type="dxa"/>
            <w:gridSpan w:val="2"/>
            <w:noWrap w:val="0"/>
            <w:vAlign w:val="top"/>
          </w:tcPr>
          <w:p>
            <w:pPr>
              <w:pStyle w:val="52"/>
              <w:keepNext w:val="0"/>
              <w:keepLines w:val="0"/>
              <w:suppressLineNumbers w:val="0"/>
              <w:shd w:val="clear" w:color="auto" w:fill="auto"/>
              <w:spacing w:line="240" w:lineRule="auto"/>
              <w:ind w:left="0" w:right="0"/>
              <w:rPr>
                <w:rFonts w:hint="default"/>
                <w:bCs/>
                <w:color w:val="000000"/>
                <w:sz w:val="21"/>
                <w:szCs w:val="21"/>
              </w:rPr>
            </w:pPr>
          </w:p>
        </w:tc>
        <w:tc>
          <w:tcPr>
            <w:tcW w:w="782" w:type="dxa"/>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r>
              <w:rPr>
                <w:rFonts w:hint="eastAsia"/>
                <w:bCs/>
                <w:color w:val="000000"/>
                <w:sz w:val="21"/>
                <w:szCs w:val="21"/>
              </w:rPr>
              <w:t>公司成</w:t>
            </w:r>
            <w:r>
              <w:rPr>
                <w:rFonts w:hint="eastAsia"/>
                <w:bCs/>
                <w:color w:val="000000"/>
                <w:spacing w:val="12"/>
                <w:sz w:val="21"/>
                <w:szCs w:val="21"/>
              </w:rPr>
              <w:t>立时间</w:t>
            </w:r>
          </w:p>
        </w:tc>
        <w:tc>
          <w:tcPr>
            <w:tcW w:w="1177" w:type="dxa"/>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180" w:type="dxa"/>
            <w:vMerge w:val="continue"/>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c>
          <w:tcPr>
            <w:tcW w:w="777" w:type="dxa"/>
            <w:noWrap w:val="0"/>
            <w:vAlign w:val="top"/>
          </w:tcPr>
          <w:p>
            <w:pPr>
              <w:pStyle w:val="52"/>
              <w:keepNext w:val="0"/>
              <w:keepLines w:val="0"/>
              <w:suppressLineNumbers w:val="0"/>
              <w:shd w:val="clear" w:color="auto" w:fill="auto"/>
              <w:spacing w:line="240" w:lineRule="auto"/>
              <w:ind w:left="2" w:right="0"/>
              <w:rPr>
                <w:rFonts w:hint="default"/>
                <w:bCs/>
                <w:color w:val="000000"/>
                <w:sz w:val="21"/>
                <w:szCs w:val="21"/>
              </w:rPr>
            </w:pPr>
            <w:r>
              <w:rPr>
                <w:rFonts w:hint="eastAsia"/>
                <w:bCs/>
                <w:color w:val="000000"/>
                <w:sz w:val="21"/>
                <w:szCs w:val="21"/>
              </w:rPr>
              <w:t>核准经营范围</w:t>
            </w:r>
          </w:p>
        </w:tc>
        <w:tc>
          <w:tcPr>
            <w:tcW w:w="7442" w:type="dxa"/>
            <w:gridSpan w:val="6"/>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0" w:type="dxa"/>
            <w:vMerge w:val="continue"/>
            <w:noWrap w:val="0"/>
            <w:vAlign w:val="top"/>
          </w:tcPr>
          <w:p>
            <w:pPr>
              <w:pStyle w:val="52"/>
              <w:keepNext w:val="0"/>
              <w:keepLines w:val="0"/>
              <w:suppressLineNumbers w:val="0"/>
              <w:shd w:val="clear" w:color="auto" w:fill="auto"/>
              <w:spacing w:line="240" w:lineRule="auto"/>
              <w:ind w:left="107" w:right="0"/>
              <w:rPr>
                <w:rFonts w:hint="default"/>
                <w:bCs/>
                <w:color w:val="000000"/>
                <w:sz w:val="21"/>
                <w:szCs w:val="21"/>
              </w:rPr>
            </w:pPr>
          </w:p>
        </w:tc>
        <w:tc>
          <w:tcPr>
            <w:tcW w:w="8219" w:type="dxa"/>
            <w:gridSpan w:val="7"/>
            <w:noWrap w:val="0"/>
            <w:vAlign w:val="top"/>
          </w:tcPr>
          <w:p>
            <w:pPr>
              <w:pStyle w:val="52"/>
              <w:keepNext w:val="0"/>
              <w:keepLines w:val="0"/>
              <w:suppressLineNumbers w:val="0"/>
              <w:shd w:val="clear" w:color="auto" w:fill="auto"/>
              <w:spacing w:line="240" w:lineRule="auto"/>
              <w:ind w:left="0" w:right="0"/>
              <w:rPr>
                <w:rFonts w:hint="default"/>
                <w:bCs/>
                <w:color w:val="000000"/>
                <w:spacing w:val="13"/>
                <w:sz w:val="21"/>
                <w:szCs w:val="21"/>
              </w:rPr>
            </w:pPr>
            <w:r>
              <w:rPr>
                <w:rFonts w:hint="eastAsia"/>
                <w:bCs/>
                <w:color w:val="000000"/>
                <w:spacing w:val="13"/>
                <w:sz w:val="21"/>
                <w:szCs w:val="21"/>
              </w:rPr>
              <w:t>发展历程及主要荣誉：</w:t>
            </w:r>
          </w:p>
        </w:tc>
      </w:tr>
    </w:tbl>
    <w:p>
      <w:pPr>
        <w:spacing w:line="360" w:lineRule="auto"/>
        <w:ind w:firstLine="4830" w:firstLineChars="2300"/>
        <w:rPr>
          <w:rFonts w:hint="eastAsia" w:ascii="宋体" w:hAnsi="宋体" w:eastAsia="宋体" w:cs="宋体"/>
          <w:sz w:val="21"/>
          <w:szCs w:val="21"/>
          <w:lang w:val="zh-CN"/>
        </w:rPr>
      </w:pPr>
      <w:r>
        <w:rPr>
          <w:rFonts w:hint="eastAsia" w:ascii="宋体" w:hAnsi="宋体" w:eastAsia="宋体" w:cs="宋体"/>
          <w:sz w:val="21"/>
          <w:szCs w:val="21"/>
        </w:rPr>
        <w:t>磋商人名称</w:t>
      </w:r>
      <w:r>
        <w:rPr>
          <w:rFonts w:hint="eastAsia" w:ascii="宋体" w:hAnsi="宋体" w:eastAsia="宋体" w:cs="宋体"/>
          <w:sz w:val="21"/>
          <w:szCs w:val="21"/>
          <w:lang w:val="zh-CN"/>
        </w:rPr>
        <w:t>（盖单位章）：</w:t>
      </w:r>
    </w:p>
    <w:p>
      <w:pPr>
        <w:spacing w:line="360" w:lineRule="auto"/>
        <w:ind w:firstLine="4830" w:firstLineChars="2300"/>
        <w:rPr>
          <w:rFonts w:ascii="宋体" w:hAnsi="宋体" w:eastAsia="宋体"/>
          <w:bCs w:val="0"/>
          <w:lang w:val="zh-CN"/>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日  期：        年    月    日</w:t>
      </w:r>
    </w:p>
    <w:p>
      <w:pPr>
        <w:pStyle w:val="42"/>
        <w:spacing w:line="360" w:lineRule="auto"/>
        <w:jc w:val="both"/>
        <w:rPr>
          <w:rFonts w:hint="eastAsia" w:ascii="宋体" w:hAnsi="宋体" w:eastAsia="宋体" w:cs="宋体"/>
          <w:b/>
          <w:bCs/>
          <w:color w:val="auto"/>
          <w:sz w:val="24"/>
          <w:szCs w:val="24"/>
        </w:rPr>
      </w:pPr>
    </w:p>
    <w:p>
      <w:pPr>
        <w:pStyle w:val="42"/>
        <w:spacing w:line="360" w:lineRule="auto"/>
        <w:jc w:val="both"/>
        <w:rPr>
          <w:rFonts w:hint="eastAsia" w:ascii="宋体" w:hAnsi="宋体" w:eastAsia="宋体" w:cs="宋体"/>
          <w:b/>
          <w:bCs/>
          <w:color w:val="auto"/>
          <w:sz w:val="24"/>
          <w:szCs w:val="24"/>
        </w:rPr>
      </w:pPr>
    </w:p>
    <w:p>
      <w:pPr>
        <w:pStyle w:val="42"/>
        <w:spacing w:line="360" w:lineRule="auto"/>
        <w:jc w:val="both"/>
        <w:rPr>
          <w:rFonts w:hint="eastAsia" w:ascii="宋体" w:hAnsi="宋体" w:eastAsia="宋体" w:cs="宋体"/>
          <w:b/>
          <w:bCs/>
          <w:color w:val="auto"/>
          <w:sz w:val="24"/>
          <w:szCs w:val="24"/>
        </w:rPr>
      </w:pPr>
    </w:p>
    <w:p>
      <w:pPr>
        <w:pStyle w:val="42"/>
        <w:spacing w:line="360" w:lineRule="auto"/>
        <w:jc w:val="both"/>
        <w:rPr>
          <w:rFonts w:hint="eastAsia" w:ascii="宋体" w:hAnsi="宋体"/>
          <w:b/>
          <w:color w:val="auto"/>
          <w:sz w:val="28"/>
          <w:szCs w:val="28"/>
        </w:rPr>
      </w:pPr>
      <w:r>
        <w:rPr>
          <w:rFonts w:hint="eastAsia" w:ascii="宋体" w:hAnsi="宋体" w:eastAsia="宋体" w:cs="宋体"/>
          <w:b/>
          <w:bCs/>
          <w:color w:val="auto"/>
          <w:sz w:val="24"/>
          <w:szCs w:val="24"/>
        </w:rPr>
        <w:t>附件</w:t>
      </w:r>
      <w:r>
        <w:rPr>
          <w:rFonts w:hint="eastAsia" w:hAnsi="宋体" w:cs="宋体"/>
          <w:b/>
          <w:bCs/>
          <w:color w:val="auto"/>
          <w:sz w:val="24"/>
          <w:szCs w:val="24"/>
          <w:lang w:val="en-US" w:eastAsia="zh-CN"/>
        </w:rPr>
        <w:t>八</w:t>
      </w:r>
      <w:r>
        <w:rPr>
          <w:rFonts w:hint="eastAsia" w:ascii="宋体" w:hAnsi="宋体" w:eastAsia="宋体" w:cs="宋体"/>
          <w:b/>
          <w:bCs/>
          <w:color w:val="auto"/>
          <w:sz w:val="24"/>
          <w:szCs w:val="24"/>
        </w:rPr>
        <w:t>：</w:t>
      </w:r>
    </w:p>
    <w:p>
      <w:pPr>
        <w:pStyle w:val="2"/>
        <w:spacing w:before="0" w:after="0" w:line="360" w:lineRule="auto"/>
        <w:jc w:val="center"/>
        <w:rPr>
          <w:rFonts w:hint="eastAsia" w:ascii="宋体" w:hAnsi="宋体" w:eastAsia="宋体" w:cs="宋体"/>
          <w:sz w:val="32"/>
          <w:szCs w:val="32"/>
          <w:lang w:eastAsia="zh-CN"/>
        </w:rPr>
      </w:pPr>
    </w:p>
    <w:p>
      <w:pPr>
        <w:pStyle w:val="2"/>
        <w:spacing w:before="0" w:after="0" w:line="360" w:lineRule="auto"/>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商务响应承诺函</w:t>
      </w:r>
    </w:p>
    <w:p>
      <w:pPr>
        <w:pStyle w:val="10"/>
        <w:spacing w:before="60" w:after="60" w:line="500" w:lineRule="exact"/>
        <w:rPr>
          <w:rFonts w:hint="eastAsia" w:hAnsi="宋体" w:cs="宋体"/>
          <w:b/>
          <w:bCs/>
          <w:color w:val="auto"/>
          <w:sz w:val="24"/>
          <w:u w:val="single"/>
        </w:rPr>
      </w:pPr>
      <w:r>
        <w:rPr>
          <w:rFonts w:hint="eastAsia" w:hAnsi="宋体" w:eastAsia="宋体" w:cs="宋体"/>
          <w:color w:val="auto"/>
          <w:sz w:val="24"/>
          <w:szCs w:val="24"/>
          <w:u w:val="single"/>
          <w:lang w:eastAsia="zh-CN"/>
        </w:rPr>
        <w:t>仙居县交通运输局</w:t>
      </w:r>
      <w:r>
        <w:rPr>
          <w:rFonts w:hint="eastAsia" w:hAnsi="宋体" w:cs="宋体"/>
          <w:b w:val="0"/>
          <w:bCs w:val="0"/>
          <w:color w:val="auto"/>
          <w:sz w:val="24"/>
          <w:u w:val="single"/>
        </w:rPr>
        <w:t>：</w:t>
      </w:r>
    </w:p>
    <w:p>
      <w:pPr>
        <w:pStyle w:val="10"/>
        <w:spacing w:before="60" w:after="60" w:line="500" w:lineRule="exact"/>
        <w:ind w:firstLine="480" w:firstLineChars="200"/>
        <w:rPr>
          <w:rFonts w:hint="eastAsia" w:hAnsi="宋体" w:eastAsia="宋体" w:cs="宋体"/>
          <w:color w:val="auto"/>
          <w:sz w:val="24"/>
          <w:lang w:eastAsia="zh-CN"/>
        </w:rPr>
      </w:pPr>
      <w:r>
        <w:rPr>
          <w:rFonts w:hint="eastAsia" w:hAnsi="宋体" w:cs="宋体"/>
          <w:color w:val="auto"/>
          <w:sz w:val="24"/>
        </w:rPr>
        <w:t>我方参与的</w:t>
      </w:r>
      <w:r>
        <w:rPr>
          <w:rFonts w:hint="eastAsia" w:hAnsi="宋体" w:cs="宋体"/>
          <w:color w:val="auto"/>
          <w:sz w:val="24"/>
          <w:u w:val="single"/>
        </w:rPr>
        <w:t xml:space="preserve"> </w:t>
      </w:r>
      <w:r>
        <w:rPr>
          <w:rFonts w:hint="eastAsia" w:hAnsi="宋体" w:eastAsia="宋体" w:cs="宋体"/>
          <w:color w:val="auto"/>
          <w:sz w:val="24"/>
          <w:u w:val="single"/>
          <w:lang w:eastAsia="zh-CN"/>
        </w:rPr>
        <w:t>（</w:t>
      </w:r>
      <w:r>
        <w:rPr>
          <w:rFonts w:hint="eastAsia" w:hAnsi="宋体" w:cs="宋体"/>
          <w:color w:val="auto"/>
          <w:sz w:val="24"/>
          <w:u w:val="single"/>
        </w:rPr>
        <w:t>项目名称）（项目编号）</w:t>
      </w:r>
      <w:r>
        <w:rPr>
          <w:rFonts w:hint="eastAsia" w:hAnsi="宋体" w:cs="宋体"/>
          <w:color w:val="auto"/>
          <w:sz w:val="24"/>
          <w:u w:val="single"/>
          <w:lang w:val="en-US" w:eastAsia="zh-CN"/>
        </w:rPr>
        <w:t xml:space="preserve"> </w:t>
      </w:r>
      <w:r>
        <w:rPr>
          <w:rFonts w:hint="eastAsia" w:hAnsi="宋体" w:cs="宋体"/>
          <w:color w:val="auto"/>
          <w:sz w:val="24"/>
        </w:rPr>
        <w:t xml:space="preserve"> 的</w:t>
      </w:r>
      <w:r>
        <w:rPr>
          <w:rFonts w:hint="eastAsia" w:hAnsi="宋体" w:cs="宋体"/>
          <w:color w:val="auto"/>
          <w:sz w:val="24"/>
          <w:lang w:eastAsia="zh-CN"/>
        </w:rPr>
        <w:t>磋商</w:t>
      </w:r>
      <w:r>
        <w:rPr>
          <w:rFonts w:hint="eastAsia" w:hAnsi="宋体" w:cs="宋体"/>
          <w:color w:val="auto"/>
          <w:sz w:val="24"/>
        </w:rPr>
        <w:t>活动，我方郑重承诺，我方承诺</w:t>
      </w:r>
      <w:r>
        <w:rPr>
          <w:rFonts w:hint="eastAsia" w:hAnsi="宋体" w:eastAsia="宋体" w:cs="宋体"/>
          <w:color w:val="auto"/>
          <w:sz w:val="24"/>
          <w:lang w:eastAsia="zh-CN"/>
        </w:rPr>
        <w:t>对磋商文件中的商务要求完全响应。</w:t>
      </w:r>
    </w:p>
    <w:p>
      <w:pPr>
        <w:pStyle w:val="10"/>
        <w:spacing w:before="60" w:after="60" w:line="500" w:lineRule="exact"/>
        <w:ind w:firstLine="480" w:firstLineChars="200"/>
        <w:rPr>
          <w:rFonts w:hint="eastAsia" w:hAnsi="宋体" w:cs="宋体"/>
          <w:color w:val="auto"/>
          <w:sz w:val="24"/>
          <w:highlight w:val="none"/>
        </w:rPr>
      </w:pPr>
      <w:r>
        <w:rPr>
          <w:rFonts w:hint="eastAsia" w:hAnsi="宋体" w:cs="宋体"/>
          <w:color w:val="auto"/>
          <w:sz w:val="24"/>
          <w:highlight w:val="none"/>
        </w:rPr>
        <w:t>如本公司对以上条款提供虚假承诺，愿承担一切法律责任。</w:t>
      </w:r>
    </w:p>
    <w:p>
      <w:pPr>
        <w:spacing w:line="360" w:lineRule="auto"/>
        <w:ind w:firstLine="3780" w:firstLineChars="1800"/>
        <w:rPr>
          <w:rFonts w:ascii="宋体" w:hAnsi="宋体" w:eastAsia="宋体" w:cs="宋体"/>
          <w:sz w:val="21"/>
          <w:szCs w:val="21"/>
        </w:rPr>
      </w:pPr>
    </w:p>
    <w:p>
      <w:pPr>
        <w:spacing w:line="360" w:lineRule="auto"/>
        <w:ind w:firstLine="3780" w:firstLineChars="1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spacing w:line="360" w:lineRule="auto"/>
        <w:ind w:firstLine="4830" w:firstLineChars="2300"/>
        <w:rPr>
          <w:rFonts w:ascii="宋体" w:hAnsi="宋体" w:eastAsia="宋体" w:cs="宋体"/>
          <w:sz w:val="21"/>
          <w:szCs w:val="21"/>
          <w:lang w:val="zh-CN"/>
        </w:rPr>
      </w:pPr>
      <w:r>
        <w:rPr>
          <w:rFonts w:hint="eastAsia" w:ascii="宋体" w:hAnsi="宋体" w:eastAsia="宋体" w:cs="宋体"/>
          <w:sz w:val="21"/>
          <w:szCs w:val="21"/>
        </w:rPr>
        <w:t>磋商人名称</w:t>
      </w:r>
      <w:r>
        <w:rPr>
          <w:rFonts w:hint="eastAsia" w:ascii="宋体" w:hAnsi="宋体" w:eastAsia="宋体" w:cs="宋体"/>
          <w:sz w:val="21"/>
          <w:szCs w:val="21"/>
          <w:lang w:val="zh-CN"/>
        </w:rPr>
        <w:t>（盖单位章）：</w:t>
      </w:r>
    </w:p>
    <w:p>
      <w:pPr>
        <w:pStyle w:val="3"/>
        <w:spacing w:before="240" w:beforeLines="100" w:after="0" w:line="360" w:lineRule="auto"/>
        <w:rPr>
          <w:rFonts w:ascii="宋体" w:hAnsi="宋体" w:eastAsia="宋体"/>
          <w:bCs w:val="0"/>
          <w:lang w:val="zh-CN"/>
        </w:rPr>
      </w:pPr>
      <w:r>
        <w:rPr>
          <w:rFonts w:hint="eastAsia" w:ascii="宋体" w:hAnsi="宋体" w:eastAsia="宋体" w:cs="宋体"/>
          <w:sz w:val="21"/>
          <w:szCs w:val="21"/>
          <w:lang w:val="zh-CN"/>
        </w:rPr>
        <w:t xml:space="preserve">                                                   </w:t>
      </w: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日  期：        年    月    日</w:t>
      </w:r>
    </w:p>
    <w:p>
      <w:pPr>
        <w:spacing w:line="450" w:lineRule="atLeast"/>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35"/>
        <w:rPr>
          <w:rFonts w:ascii="宋体" w:hAnsi="宋体" w:eastAsia="宋体" w:cs="宋体"/>
          <w:b/>
          <w:sz w:val="21"/>
          <w:szCs w:val="21"/>
        </w:rPr>
      </w:pPr>
    </w:p>
    <w:p>
      <w:pPr>
        <w:pStyle w:val="42"/>
        <w:spacing w:line="360" w:lineRule="auto"/>
        <w:jc w:val="left"/>
        <w:rPr>
          <w:rFonts w:hint="eastAsia" w:hAnsi="宋体" w:cs="宋体"/>
          <w:b/>
          <w:bCs/>
          <w:sz w:val="24"/>
          <w:szCs w:val="24"/>
          <w:lang w:val="en-US" w:eastAsia="zh-CN"/>
        </w:rPr>
      </w:pPr>
      <w:r>
        <w:rPr>
          <w:rFonts w:hint="eastAsia" w:hAnsi="宋体" w:eastAsia="宋体" w:cs="宋体"/>
          <w:b/>
          <w:bCs/>
          <w:sz w:val="24"/>
          <w:szCs w:val="24"/>
        </w:rPr>
        <w:t>附件</w:t>
      </w:r>
      <w:r>
        <w:rPr>
          <w:rFonts w:hint="eastAsia" w:hAnsi="宋体" w:cs="宋体"/>
          <w:b/>
          <w:bCs/>
          <w:sz w:val="24"/>
          <w:szCs w:val="24"/>
          <w:lang w:val="en-US" w:eastAsia="zh-CN"/>
        </w:rPr>
        <w:t>九</w:t>
      </w:r>
      <w:r>
        <w:rPr>
          <w:rFonts w:hint="eastAsia" w:hAnsi="宋体" w:eastAsia="宋体" w:cs="宋体"/>
          <w:b/>
          <w:bCs/>
          <w:sz w:val="24"/>
          <w:szCs w:val="24"/>
        </w:rPr>
        <w:t>：</w:t>
      </w:r>
      <w:r>
        <w:rPr>
          <w:rFonts w:hint="eastAsia" w:hAnsi="宋体" w:cs="宋体"/>
          <w:b/>
          <w:bCs/>
          <w:sz w:val="24"/>
          <w:szCs w:val="24"/>
          <w:lang w:val="en-US" w:eastAsia="zh-CN"/>
        </w:rPr>
        <w:t xml:space="preserve">                    </w:t>
      </w:r>
    </w:p>
    <w:p>
      <w:pPr>
        <w:pStyle w:val="42"/>
        <w:spacing w:line="360" w:lineRule="auto"/>
        <w:jc w:val="center"/>
        <w:rPr>
          <w:rFonts w:ascii="仿宋_GB2312" w:eastAsia="仿宋_GB2312"/>
          <w:b/>
          <w:color w:val="auto"/>
          <w:sz w:val="28"/>
          <w:szCs w:val="28"/>
        </w:rPr>
      </w:pPr>
      <w:r>
        <w:rPr>
          <w:rFonts w:hint="eastAsia" w:ascii="宋体" w:hAnsi="宋体"/>
          <w:b/>
          <w:color w:val="auto"/>
          <w:sz w:val="28"/>
          <w:szCs w:val="28"/>
        </w:rPr>
        <w:t>项目业绩一览表</w:t>
      </w: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1200"/>
        <w:gridCol w:w="1464"/>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16" w:hRule="atLeast"/>
          <w:jc w:val="center"/>
        </w:trPr>
        <w:tc>
          <w:tcPr>
            <w:tcW w:w="744"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序号</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项目名称</w:t>
            </w:r>
          </w:p>
        </w:tc>
        <w:tc>
          <w:tcPr>
            <w:tcW w:w="1464"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项目质量</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default" w:ascii="宋体" w:hAnsi="宋体" w:cs="Arial"/>
                <w:b/>
                <w:bCs/>
                <w:color w:val="auto"/>
                <w:sz w:val="24"/>
              </w:rPr>
            </w:pPr>
            <w:r>
              <w:rPr>
                <w:rFonts w:hint="eastAsia" w:ascii="宋体" w:hAnsi="宋体" w:cs="Arial"/>
                <w:b/>
                <w:bCs/>
                <w:color w:val="auto"/>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4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jc w:val="center"/>
              <w:rPr>
                <w:rFonts w:hint="default" w:ascii="宋体" w:hAnsi="宋体" w:cs="Arial"/>
                <w:color w:val="auto"/>
                <w:sz w:val="24"/>
              </w:rPr>
            </w:pPr>
            <w:r>
              <w:rPr>
                <w:rFonts w:hint="eastAsia" w:ascii="宋体" w:hAnsi="宋体" w:cs="Arial"/>
                <w:color w:val="auto"/>
                <w:sz w:val="24"/>
              </w:rPr>
              <w:t>1</w:t>
            </w: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6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74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jc w:val="center"/>
              <w:rPr>
                <w:rFonts w:hint="default" w:ascii="宋体" w:hAnsi="宋体" w:cs="Arial"/>
                <w:color w:val="auto"/>
                <w:sz w:val="24"/>
              </w:rPr>
            </w:pPr>
            <w:r>
              <w:rPr>
                <w:rFonts w:hint="eastAsia" w:ascii="宋体" w:hAnsi="宋体" w:cs="Arial"/>
                <w:color w:val="auto"/>
                <w:sz w:val="24"/>
              </w:rPr>
              <w:t>2</w:t>
            </w: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6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74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jc w:val="center"/>
              <w:rPr>
                <w:rFonts w:hint="default" w:ascii="宋体" w:hAnsi="宋体" w:cs="Arial"/>
                <w:color w:val="auto"/>
                <w:sz w:val="24"/>
              </w:rPr>
            </w:pPr>
            <w:r>
              <w:rPr>
                <w:rFonts w:hint="eastAsia" w:ascii="宋体" w:hAnsi="宋体" w:cs="Arial"/>
                <w:color w:val="auto"/>
                <w:sz w:val="24"/>
              </w:rPr>
              <w:t>3</w:t>
            </w: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6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74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r>
              <w:rPr>
                <w:rFonts w:hint="eastAsia" w:ascii="宋体" w:hAnsi="宋体" w:cs="Arial"/>
                <w:color w:val="auto"/>
                <w:sz w:val="24"/>
              </w:rPr>
              <w:t>…</w:t>
            </w: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64"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42"/>
              <w:keepNext w:val="0"/>
              <w:keepLines w:val="0"/>
              <w:suppressLineNumbers w:val="0"/>
              <w:spacing w:before="0" w:beforeAutospacing="0" w:after="0" w:afterAutospacing="0" w:line="360" w:lineRule="auto"/>
              <w:ind w:left="0" w:right="0"/>
              <w:rPr>
                <w:rFonts w:hint="default" w:ascii="宋体" w:hAnsi="宋体" w:cs="Arial"/>
                <w:color w:val="auto"/>
                <w:sz w:val="24"/>
              </w:rPr>
            </w:pPr>
          </w:p>
        </w:tc>
      </w:tr>
    </w:tbl>
    <w:p>
      <w:pPr>
        <w:spacing w:line="360" w:lineRule="auto"/>
        <w:jc w:val="both"/>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注：1.表中业绩参照“第四部分 评标办法及评分标准”中要求提供，并附上每个业绩相关材料；</w:t>
      </w:r>
    </w:p>
    <w:p>
      <w:pPr>
        <w:numPr>
          <w:ilvl w:val="0"/>
          <w:numId w:val="0"/>
        </w:numPr>
        <w:spacing w:line="360" w:lineRule="auto"/>
        <w:ind w:firstLine="420" w:firstLineChars="200"/>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2.供应商承诺提供的上述业绩相关材料真实不假，否则作为磋商响应文件提供虚假材料，按照采购文件相关条款处理，承担一切责任。</w:t>
      </w:r>
    </w:p>
    <w:p>
      <w:pPr>
        <w:numPr>
          <w:ilvl w:val="0"/>
          <w:numId w:val="0"/>
        </w:numPr>
        <w:spacing w:line="360" w:lineRule="auto"/>
        <w:ind w:firstLine="420" w:firstLineChars="200"/>
        <w:jc w:val="left"/>
        <w:rPr>
          <w:rFonts w:hint="eastAsia" w:ascii="宋体" w:hAnsi="宋体" w:eastAsia="宋体" w:cs="宋体"/>
          <w:color w:val="auto"/>
          <w:sz w:val="24"/>
          <w:szCs w:val="24"/>
          <w:lang w:val="en-US" w:eastAsia="zh-CN"/>
        </w:rPr>
      </w:pPr>
      <w:r>
        <w:rPr>
          <w:rFonts w:hint="eastAsia" w:ascii="宋体" w:hAnsi="宋体" w:eastAsia="宋体" w:cs="宋体"/>
          <w:bCs/>
          <w:color w:val="auto"/>
          <w:kern w:val="0"/>
          <w:sz w:val="21"/>
          <w:szCs w:val="21"/>
          <w:highlight w:val="none"/>
          <w:lang w:val="en-US" w:eastAsia="zh-CN" w:bidi="ar-SA"/>
        </w:rPr>
        <w:t>3.此表可增行。</w:t>
      </w:r>
      <w:r>
        <w:rPr>
          <w:rFonts w:hint="eastAsia" w:ascii="宋体" w:hAnsi="宋体" w:eastAsia="宋体" w:cs="宋体"/>
          <w:color w:val="auto"/>
          <w:sz w:val="24"/>
          <w:szCs w:val="24"/>
          <w:lang w:val="en-US" w:eastAsia="zh-CN"/>
        </w:rPr>
        <w:t xml:space="preserve">      </w:t>
      </w:r>
    </w:p>
    <w:p>
      <w:pPr>
        <w:numPr>
          <w:ilvl w:val="0"/>
          <w:numId w:val="0"/>
        </w:numPr>
        <w:spacing w:line="360" w:lineRule="auto"/>
        <w:ind w:firstLine="420" w:firstLineChars="200"/>
        <w:jc w:val="right"/>
        <w:rPr>
          <w:rFonts w:hint="eastAsia" w:ascii="宋体" w:hAnsi="宋体" w:eastAsia="宋体" w:cs="宋体"/>
          <w:color w:val="auto"/>
          <w:sz w:val="21"/>
          <w:szCs w:val="21"/>
          <w:lang w:val="zh-CN"/>
        </w:rPr>
      </w:pPr>
      <w:r>
        <w:rPr>
          <w:rFonts w:hint="eastAsia" w:ascii="宋体" w:hAnsi="宋体" w:eastAsia="宋体" w:cs="宋体"/>
          <w:color w:val="auto"/>
          <w:sz w:val="21"/>
          <w:szCs w:val="21"/>
        </w:rPr>
        <w:t>磋商人名称</w:t>
      </w:r>
      <w:r>
        <w:rPr>
          <w:rFonts w:hint="eastAsia" w:ascii="宋体" w:hAnsi="宋体" w:eastAsia="宋体" w:cs="宋体"/>
          <w:color w:val="auto"/>
          <w:sz w:val="21"/>
          <w:szCs w:val="21"/>
          <w:lang w:val="zh-CN"/>
        </w:rPr>
        <w:t>（盖单位章）：</w:t>
      </w:r>
    </w:p>
    <w:p>
      <w:pPr>
        <w:pStyle w:val="3"/>
        <w:pageBreakBefore w:val="0"/>
        <w:widowControl w:val="0"/>
        <w:kinsoku/>
        <w:wordWrap/>
        <w:overflowPunct/>
        <w:topLinePunct w:val="0"/>
        <w:autoSpaceDE/>
        <w:autoSpaceDN/>
        <w:bidi w:val="0"/>
        <w:adjustRightInd/>
        <w:snapToGrid/>
        <w:spacing w:before="312" w:beforeLines="100" w:after="0" w:line="360" w:lineRule="auto"/>
        <w:jc w:val="both"/>
        <w:textAlignment w:val="auto"/>
        <w:rPr>
          <w:rFonts w:hint="eastAsia" w:ascii="宋体" w:hAnsi="宋体" w:eastAsia="宋体"/>
          <w:bCs w:val="0"/>
          <w:color w:val="auto"/>
          <w:lang w:val="zh-CN"/>
        </w:rPr>
      </w:pPr>
      <w:r>
        <w:rPr>
          <w:rFonts w:hint="eastAsia" w:ascii="宋体" w:hAnsi="宋体" w:eastAsia="宋体" w:cs="宋体"/>
          <w:color w:val="auto"/>
          <w:sz w:val="21"/>
          <w:szCs w:val="21"/>
          <w:lang w:val="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kern w:val="2"/>
          <w:sz w:val="21"/>
          <w:szCs w:val="21"/>
          <w:lang w:val="en-US" w:eastAsia="zh-CN" w:bidi="ar-SA"/>
        </w:rPr>
        <w:t xml:space="preserve"> 日  期：        年    月    日</w:t>
      </w:r>
    </w:p>
    <w:p>
      <w:pPr>
        <w:spacing w:line="450" w:lineRule="atLeast"/>
        <w:rPr>
          <w:rFonts w:hint="eastAsia" w:ascii="宋体" w:hAnsi="宋体" w:eastAsia="宋体" w:cs="宋体"/>
          <w:b/>
          <w:color w:val="auto"/>
          <w:sz w:val="21"/>
          <w:szCs w:val="21"/>
        </w:rPr>
      </w:pPr>
    </w:p>
    <w:p>
      <w:pPr>
        <w:rPr>
          <w:rFonts w:hint="eastAsia" w:ascii="宋体" w:hAnsi="宋体" w:eastAsia="宋体" w:cs="宋体"/>
          <w:b/>
          <w:color w:val="auto"/>
          <w:sz w:val="24"/>
          <w:szCs w:val="24"/>
        </w:rPr>
      </w:pPr>
    </w:p>
    <w:p>
      <w:pPr>
        <w:pStyle w:val="10"/>
        <w:adjustRightInd w:val="0"/>
        <w:snapToGrid w:val="0"/>
        <w:spacing w:before="156" w:after="156"/>
        <w:rPr>
          <w:rFonts w:hint="eastAsia" w:ascii="宋体" w:hAnsi="宋体" w:eastAsia="宋体" w:cs="宋体"/>
          <w:b/>
          <w:bCs/>
          <w:color w:val="auto"/>
          <w:sz w:val="24"/>
          <w:szCs w:val="24"/>
          <w:lang w:val="en-US" w:eastAsia="zh-CN"/>
        </w:rPr>
      </w:pPr>
      <w:bookmarkStart w:id="2733" w:name="_Toc528578415"/>
      <w:bookmarkStart w:id="2734" w:name="_Toc528927457"/>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adjustRightInd w:val="0"/>
        <w:snapToGrid w:val="0"/>
        <w:spacing w:before="156" w:after="156"/>
        <w:rPr>
          <w:rFonts w:hint="eastAsia" w:ascii="宋体" w:hAnsi="宋体" w:eastAsia="宋体" w:cs="宋体"/>
          <w:b/>
          <w:bCs/>
          <w:color w:val="auto"/>
          <w:sz w:val="24"/>
          <w:szCs w:val="24"/>
          <w:lang w:val="en-US" w:eastAsia="zh-CN"/>
        </w:rPr>
      </w:pPr>
    </w:p>
    <w:p>
      <w:pPr>
        <w:pStyle w:val="10"/>
        <w:spacing w:line="360" w:lineRule="auto"/>
        <w:jc w:val="left"/>
        <w:rPr>
          <w:rFonts w:hint="eastAsia" w:hAnsi="宋体" w:eastAsia="宋体" w:cs="宋体"/>
          <w:b/>
          <w:color w:val="auto"/>
          <w:sz w:val="24"/>
          <w:szCs w:val="24"/>
          <w:lang w:val="en-US" w:eastAsia="zh-CN"/>
        </w:rPr>
      </w:pPr>
      <w:r>
        <w:rPr>
          <w:rFonts w:hint="eastAsia" w:ascii="宋体" w:hAnsi="宋体" w:eastAsia="宋体" w:cs="宋体"/>
          <w:b/>
          <w:bCs/>
          <w:color w:val="auto"/>
          <w:sz w:val="24"/>
          <w:szCs w:val="24"/>
          <w:lang w:val="en-US" w:eastAsia="zh-CN"/>
        </w:rPr>
        <w:t>附件</w:t>
      </w:r>
      <w:r>
        <w:rPr>
          <w:rFonts w:hint="eastAsia" w:hAnsi="宋体" w:eastAsia="宋体" w:cs="宋体"/>
          <w:b/>
          <w:bCs/>
          <w:color w:val="auto"/>
          <w:sz w:val="24"/>
          <w:szCs w:val="24"/>
          <w:lang w:val="en-US" w:eastAsia="zh-CN"/>
        </w:rPr>
        <w:t xml:space="preserve">十：             </w:t>
      </w:r>
      <w:r>
        <w:rPr>
          <w:rFonts w:hint="eastAsia" w:hAnsi="宋体" w:eastAsia="宋体" w:cs="宋体"/>
          <w:b/>
          <w:color w:val="auto"/>
          <w:sz w:val="24"/>
          <w:szCs w:val="24"/>
          <w:lang w:val="en-US" w:eastAsia="zh-CN"/>
        </w:rPr>
        <w:t xml:space="preserve">  </w:t>
      </w:r>
    </w:p>
    <w:p>
      <w:pPr>
        <w:pStyle w:val="10"/>
        <w:spacing w:line="360" w:lineRule="auto"/>
        <w:jc w:val="center"/>
        <w:rPr>
          <w:rFonts w:hint="eastAsia" w:hAnsi="宋体" w:eastAsia="宋体" w:cs="宋体" w:asciiTheme="minorAscii"/>
          <w:b/>
          <w:color w:val="000000"/>
          <w:kern w:val="2"/>
          <w:sz w:val="32"/>
          <w:szCs w:val="32"/>
          <w:lang w:val="en-US" w:eastAsia="zh-CN" w:bidi="ar-SA"/>
        </w:rPr>
      </w:pPr>
      <w:r>
        <w:rPr>
          <w:rFonts w:hint="eastAsia" w:hAnsi="宋体" w:eastAsia="宋体" w:cs="宋体" w:asciiTheme="minorAscii"/>
          <w:b/>
          <w:color w:val="000000"/>
          <w:kern w:val="2"/>
          <w:sz w:val="32"/>
          <w:szCs w:val="32"/>
          <w:lang w:val="en-US" w:eastAsia="zh-CN" w:bidi="ar-SA"/>
        </w:rPr>
        <w:t>项目经理简历表</w:t>
      </w:r>
    </w:p>
    <w:tbl>
      <w:tblPr>
        <w:tblStyle w:val="24"/>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550"/>
        <w:gridCol w:w="1549"/>
        <w:gridCol w:w="1686"/>
        <w:gridCol w:w="155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性别</w:t>
            </w:r>
          </w:p>
        </w:tc>
        <w:tc>
          <w:tcPr>
            <w:tcW w:w="1686"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年龄</w:t>
            </w:r>
          </w:p>
        </w:tc>
        <w:tc>
          <w:tcPr>
            <w:tcW w:w="1551"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职务</w:t>
            </w: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职称</w:t>
            </w:r>
          </w:p>
        </w:tc>
        <w:tc>
          <w:tcPr>
            <w:tcW w:w="1686"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学历</w:t>
            </w:r>
          </w:p>
        </w:tc>
        <w:tc>
          <w:tcPr>
            <w:tcW w:w="1551"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099" w:type="dxa"/>
            <w:gridSpan w:val="2"/>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参加工作时间</w:t>
            </w:r>
          </w:p>
        </w:tc>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c>
          <w:tcPr>
            <w:tcW w:w="3236" w:type="dxa"/>
            <w:gridSpan w:val="2"/>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从事</w:t>
            </w:r>
            <w:r>
              <w:rPr>
                <w:rFonts w:hint="eastAsia" w:ascii="宋体" w:hAnsi="宋体" w:eastAsia="宋体" w:cs="宋体"/>
                <w:sz w:val="21"/>
                <w:szCs w:val="21"/>
                <w:lang w:val="en-US" w:eastAsia="zh-CN"/>
              </w:rPr>
              <w:t>项目经理</w:t>
            </w:r>
            <w:r>
              <w:rPr>
                <w:rFonts w:hint="eastAsia" w:ascii="宋体" w:hAnsi="宋体" w:eastAsia="宋体" w:cs="宋体"/>
                <w:sz w:val="21"/>
                <w:szCs w:val="21"/>
              </w:rPr>
              <w:t>年限</w:t>
            </w:r>
          </w:p>
        </w:tc>
        <w:tc>
          <w:tcPr>
            <w:tcW w:w="1551"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099" w:type="dxa"/>
            <w:gridSpan w:val="2"/>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项目负责人资格证书编号</w:t>
            </w:r>
          </w:p>
        </w:tc>
        <w:tc>
          <w:tcPr>
            <w:tcW w:w="6336" w:type="dxa"/>
            <w:gridSpan w:val="4"/>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435" w:type="dxa"/>
            <w:gridSpan w:val="6"/>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项目经理</w:t>
            </w:r>
            <w:r>
              <w:rPr>
                <w:rFonts w:hint="eastAsia" w:ascii="宋体" w:hAnsi="宋体" w:eastAsia="宋体" w:cs="宋体"/>
                <w:sz w:val="21"/>
                <w:szCs w:val="21"/>
                <w:lang w:eastAsia="zh-CN"/>
              </w:rPr>
              <w:t>类似业绩一览表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549"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项目地址</w:t>
            </w:r>
          </w:p>
        </w:tc>
        <w:tc>
          <w:tcPr>
            <w:tcW w:w="1686"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合同总价</w:t>
            </w:r>
          </w:p>
        </w:tc>
        <w:tc>
          <w:tcPr>
            <w:tcW w:w="1550"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1551" w:type="dxa"/>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686"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686"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686"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49"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686"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c>
          <w:tcPr>
            <w:tcW w:w="155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bl>
    <w:p>
      <w:pPr>
        <w:spacing w:line="360" w:lineRule="auto"/>
        <w:rPr>
          <w:rFonts w:hint="eastAsia" w:ascii="宋体" w:hAnsi="宋体" w:eastAsia="宋体" w:cs="宋体"/>
          <w:sz w:val="21"/>
          <w:szCs w:val="21"/>
        </w:rPr>
      </w:pPr>
      <w:r>
        <w:rPr>
          <w:rFonts w:hint="eastAsia" w:ascii="宋体" w:hAnsi="宋体" w:eastAsia="宋体" w:cs="宋体"/>
          <w:sz w:val="21"/>
          <w:szCs w:val="21"/>
        </w:rPr>
        <w:t>备注：</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rPr>
        <w:t>1.</w:t>
      </w:r>
      <w:r>
        <w:rPr>
          <w:rFonts w:hint="eastAsia" w:ascii="宋体" w:hAnsi="宋体" w:eastAsia="宋体" w:cs="宋体"/>
          <w:b w:val="0"/>
          <w:bCs/>
          <w:kern w:val="0"/>
          <w:sz w:val="21"/>
          <w:szCs w:val="21"/>
        </w:rPr>
        <w:t>表中业绩参照“第四部分 评标办法及评分标准”中要求提供，并附上每个业绩相关材料；</w:t>
      </w:r>
    </w:p>
    <w:p>
      <w:pPr>
        <w:pStyle w:val="10"/>
        <w:pageBreakBefore w:val="0"/>
        <w:widowControl w:val="0"/>
        <w:kinsoku/>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Cs w:val="21"/>
          <w:highlight w:val="yellow"/>
          <w:lang w:eastAsia="zh-CN"/>
        </w:rPr>
      </w:pPr>
      <w:r>
        <w:rPr>
          <w:rFonts w:hint="eastAsia" w:ascii="宋体" w:hAnsi="宋体" w:eastAsia="宋体" w:cs="宋体"/>
          <w:b w:val="0"/>
          <w:bCs/>
          <w:kern w:val="0"/>
          <w:sz w:val="21"/>
          <w:szCs w:val="21"/>
          <w:highlight w:val="none"/>
          <w:lang w:val="en-US" w:eastAsia="zh-CN"/>
        </w:rPr>
        <w:t>2</w:t>
      </w:r>
      <w:r>
        <w:rPr>
          <w:rFonts w:hint="eastAsia" w:hAnsi="宋体" w:eastAsia="宋体" w:cs="宋体"/>
          <w:b w:val="0"/>
          <w:bCs/>
          <w:kern w:val="0"/>
          <w:sz w:val="21"/>
          <w:szCs w:val="21"/>
          <w:highlight w:val="none"/>
          <w:lang w:val="en-US" w:eastAsia="zh-CN"/>
        </w:rPr>
        <w:t>.</w:t>
      </w:r>
      <w:r>
        <w:rPr>
          <w:rFonts w:hint="eastAsia" w:hAnsi="宋体" w:eastAsia="宋体" w:cs="宋体"/>
          <w:b w:val="0"/>
          <w:bCs/>
          <w:color w:val="auto"/>
          <w:szCs w:val="21"/>
          <w:highlight w:val="none"/>
          <w:lang w:val="en-US" w:eastAsia="zh-CN"/>
        </w:rPr>
        <w:t>须提供项目经理</w:t>
      </w:r>
      <w:r>
        <w:rPr>
          <w:rFonts w:hint="eastAsia" w:ascii="宋体" w:hAnsi="宋体" w:eastAsia="宋体" w:cs="宋体"/>
          <w:bCs/>
          <w:color w:val="auto"/>
          <w:kern w:val="0"/>
          <w:sz w:val="21"/>
          <w:szCs w:val="21"/>
          <w:highlight w:val="none"/>
        </w:rPr>
        <w:t>身份证（正反双面）、职称资格证书、</w:t>
      </w:r>
      <w:r>
        <w:rPr>
          <w:rFonts w:hint="eastAsia" w:ascii="宋体" w:hAnsi="宋体" w:eastAsia="宋体" w:cs="宋体"/>
          <w:color w:val="auto"/>
          <w:kern w:val="2"/>
          <w:sz w:val="21"/>
          <w:szCs w:val="21"/>
          <w:lang w:val="en-US" w:eastAsia="zh-CN" w:bidi="ar"/>
        </w:rPr>
        <w:t>有效期内的施工企业项目负责人安全生产考核合格证书（B类）</w:t>
      </w:r>
      <w:r>
        <w:rPr>
          <w:rFonts w:hint="eastAsia" w:ascii="宋体" w:hAnsi="宋体" w:eastAsia="宋体" w:cs="宋体"/>
          <w:bCs/>
          <w:color w:val="auto"/>
          <w:kern w:val="0"/>
          <w:sz w:val="21"/>
          <w:szCs w:val="21"/>
          <w:highlight w:val="none"/>
        </w:rPr>
        <w:t>、建造师注册证书</w:t>
      </w:r>
      <w:r>
        <w:rPr>
          <w:rFonts w:hint="eastAsia" w:hAnsi="宋体" w:eastAsia="宋体" w:cs="宋体"/>
          <w:b w:val="0"/>
          <w:bCs/>
          <w:color w:val="auto"/>
          <w:szCs w:val="21"/>
          <w:highlight w:val="none"/>
          <w:lang w:eastAsia="zh-CN"/>
        </w:rPr>
        <w:t>。</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rPr>
        <w:t>3.</w:t>
      </w:r>
      <w:r>
        <w:rPr>
          <w:rFonts w:hint="eastAsia" w:ascii="宋体" w:hAnsi="宋体" w:eastAsia="宋体" w:cs="宋体"/>
          <w:b w:val="0"/>
          <w:bCs/>
          <w:kern w:val="0"/>
          <w:sz w:val="21"/>
          <w:szCs w:val="21"/>
        </w:rPr>
        <w:t>供应商承诺提供的上述业绩相关材料真实不假，否则作为磋商响应文件提供虚假材料，按照采购文件相关条款处理，承担一切责任。</w:t>
      </w:r>
    </w:p>
    <w:p>
      <w:pPr>
        <w:spacing w:line="360" w:lineRule="auto"/>
        <w:rPr>
          <w:rFonts w:hint="eastAsia" w:ascii="宋体" w:hAnsi="宋体"/>
          <w:bCs/>
          <w:color w:val="FF0000"/>
          <w:kern w:val="0"/>
          <w:sz w:val="21"/>
          <w:szCs w:val="21"/>
          <w:lang w:val="en-US" w:eastAsia="zh-CN" w:bidi="ar-SA"/>
        </w:rPr>
      </w:pPr>
    </w:p>
    <w:p>
      <w:pPr>
        <w:spacing w:line="360" w:lineRule="auto"/>
        <w:rPr>
          <w:rFonts w:hint="eastAsia" w:ascii="宋体" w:hAnsi="宋体" w:eastAsia="宋体" w:cs="宋体"/>
          <w:color w:val="auto"/>
          <w:sz w:val="21"/>
          <w:szCs w:val="21"/>
          <w:lang w:eastAsia="zh-CN"/>
        </w:rPr>
      </w:pPr>
    </w:p>
    <w:p>
      <w:pPr>
        <w:numPr>
          <w:ilvl w:val="0"/>
          <w:numId w:val="0"/>
        </w:numPr>
        <w:spacing w:line="360" w:lineRule="auto"/>
        <w:ind w:firstLine="4320" w:firstLineChars="1800"/>
        <w:rPr>
          <w:rFonts w:hint="eastAsia" w:ascii="宋体" w:hAnsi="宋体" w:eastAsia="宋体" w:cs="宋体"/>
          <w:color w:val="auto"/>
          <w:sz w:val="21"/>
          <w:szCs w:val="21"/>
          <w:lang w:val="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1"/>
          <w:szCs w:val="21"/>
        </w:rPr>
        <w:t>磋商人名称</w:t>
      </w:r>
      <w:r>
        <w:rPr>
          <w:rFonts w:hint="eastAsia" w:ascii="宋体" w:hAnsi="宋体" w:eastAsia="宋体" w:cs="宋体"/>
          <w:color w:val="auto"/>
          <w:sz w:val="21"/>
          <w:szCs w:val="21"/>
          <w:lang w:val="zh-CN"/>
        </w:rPr>
        <w:t>（盖单位章）：</w:t>
      </w:r>
    </w:p>
    <w:p>
      <w:pPr>
        <w:pStyle w:val="3"/>
        <w:pageBreakBefore w:val="0"/>
        <w:widowControl w:val="0"/>
        <w:kinsoku/>
        <w:wordWrap/>
        <w:overflowPunct/>
        <w:topLinePunct w:val="0"/>
        <w:autoSpaceDE/>
        <w:autoSpaceDN/>
        <w:bidi w:val="0"/>
        <w:adjustRightInd/>
        <w:snapToGrid/>
        <w:spacing w:before="312" w:beforeLines="100" w:after="0" w:line="360" w:lineRule="auto"/>
        <w:jc w:val="both"/>
        <w:textAlignment w:val="auto"/>
        <w:rPr>
          <w:rFonts w:hint="eastAsia" w:ascii="宋体" w:hAnsi="宋体" w:eastAsia="宋体"/>
          <w:bCs w:val="0"/>
          <w:color w:val="auto"/>
          <w:lang w:val="zh-CN"/>
        </w:rPr>
      </w:pPr>
      <w:r>
        <w:rPr>
          <w:rFonts w:hint="eastAsia" w:ascii="宋体" w:hAnsi="宋体" w:eastAsia="宋体" w:cs="宋体"/>
          <w:color w:val="auto"/>
          <w:sz w:val="21"/>
          <w:szCs w:val="21"/>
          <w:lang w:val="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kern w:val="2"/>
          <w:sz w:val="21"/>
          <w:szCs w:val="21"/>
          <w:lang w:val="en-US" w:eastAsia="zh-CN" w:bidi="ar-SA"/>
        </w:rPr>
        <w:t xml:space="preserve"> 日  期：        年    月    日</w:t>
      </w:r>
    </w:p>
    <w:p>
      <w:pPr>
        <w:spacing w:line="450" w:lineRule="atLeast"/>
        <w:rPr>
          <w:rFonts w:hint="eastAsia" w:ascii="宋体" w:hAnsi="宋体" w:eastAsia="宋体" w:cs="宋体"/>
          <w:b/>
          <w:color w:val="auto"/>
          <w:sz w:val="21"/>
          <w:szCs w:val="21"/>
        </w:rPr>
      </w:pPr>
    </w:p>
    <w:p>
      <w:pPr>
        <w:pStyle w:val="7"/>
        <w:numPr>
          <w:ilvl w:val="0"/>
          <w:numId w:val="0"/>
        </w:numPr>
        <w:rPr>
          <w:rFonts w:hint="eastAsia"/>
          <w:color w:val="auto"/>
          <w:lang w:eastAsia="zh-CN"/>
        </w:rPr>
      </w:pPr>
    </w:p>
    <w:p>
      <w:pPr>
        <w:snapToGrid w:val="0"/>
        <w:spacing w:before="156" w:beforeLines="50" w:after="50" w:line="360" w:lineRule="auto"/>
        <w:jc w:val="left"/>
        <w:rPr>
          <w:rFonts w:hint="eastAsia" w:ascii="宋体" w:hAnsi="宋体" w:eastAsia="宋体" w:cs="宋体"/>
          <w:b/>
          <w:color w:val="000000"/>
          <w:kern w:val="2"/>
          <w:sz w:val="24"/>
          <w:szCs w:val="24"/>
          <w:lang w:val="en-US" w:eastAsia="zh-CN" w:bidi="ar-SA"/>
        </w:rPr>
      </w:pPr>
      <w:bookmarkStart w:id="2735" w:name="_Toc8165"/>
      <w:bookmarkStart w:id="2736" w:name="_Toc10163_WPSOffice_Level2"/>
      <w:bookmarkStart w:id="2737" w:name="_Toc28261_WPSOffice_Level2"/>
      <w:bookmarkStart w:id="2738" w:name="_Toc10701_WPSOffice_Level2"/>
    </w:p>
    <w:p>
      <w:pPr>
        <w:snapToGrid w:val="0"/>
        <w:spacing w:before="156" w:beforeLines="50" w:after="50" w:line="360" w:lineRule="auto"/>
        <w:jc w:val="left"/>
        <w:rPr>
          <w:rFonts w:hint="eastAsia" w:ascii="宋体" w:hAnsi="宋体" w:eastAsia="宋体" w:cs="宋体"/>
          <w:b/>
          <w:color w:val="000000"/>
          <w:kern w:val="2"/>
          <w:sz w:val="24"/>
          <w:szCs w:val="24"/>
          <w:lang w:val="en-US" w:eastAsia="zh-CN" w:bidi="ar-SA"/>
        </w:rPr>
      </w:pPr>
    </w:p>
    <w:p>
      <w:pPr>
        <w:snapToGrid w:val="0"/>
        <w:spacing w:before="156" w:beforeLines="50" w:after="50" w:line="360" w:lineRule="auto"/>
        <w:jc w:val="left"/>
        <w:rPr>
          <w:rFonts w:hint="eastAsia" w:ascii="宋体" w:hAnsi="宋体" w:eastAsia="宋体" w:cs="宋体"/>
          <w:b/>
          <w:color w:val="000000"/>
          <w:kern w:val="2"/>
          <w:sz w:val="24"/>
          <w:szCs w:val="24"/>
          <w:lang w:val="en-US" w:eastAsia="zh-CN" w:bidi="ar-SA"/>
        </w:rPr>
      </w:pPr>
    </w:p>
    <w:p>
      <w:pPr>
        <w:tabs>
          <w:tab w:val="left" w:pos="720"/>
        </w:tabs>
        <w:spacing w:line="360" w:lineRule="auto"/>
        <w:outlineLvl w:val="0"/>
        <w:rPr>
          <w:rFonts w:hint="eastAsia" w:ascii="宋体" w:hAnsi="宋体" w:eastAsia="宋体" w:cs="宋体"/>
          <w:b/>
          <w:color w:val="000000"/>
          <w:kern w:val="2"/>
          <w:sz w:val="24"/>
          <w:szCs w:val="24"/>
          <w:lang w:val="en-US" w:eastAsia="zh-CN" w:bidi="ar-SA"/>
        </w:rPr>
      </w:pPr>
    </w:p>
    <w:p>
      <w:pPr>
        <w:tabs>
          <w:tab w:val="left" w:pos="720"/>
        </w:tabs>
        <w:spacing w:line="360" w:lineRule="auto"/>
        <w:outlineLvl w:val="0"/>
        <w:rPr>
          <w:rFonts w:hint="eastAsia" w:ascii="宋体" w:hAnsi="宋体" w:eastAsia="宋体" w:cs="宋体"/>
          <w:b/>
          <w:color w:val="000000"/>
          <w:kern w:val="2"/>
          <w:sz w:val="24"/>
          <w:szCs w:val="24"/>
          <w:lang w:val="en-US" w:eastAsia="zh-CN" w:bidi="ar-SA"/>
        </w:rPr>
      </w:pPr>
    </w:p>
    <w:p>
      <w:pPr>
        <w:tabs>
          <w:tab w:val="left" w:pos="720"/>
        </w:tabs>
        <w:spacing w:line="360" w:lineRule="auto"/>
        <w:outlineLvl w:val="0"/>
        <w:rPr>
          <w:rFonts w:hint="eastAsia" w:ascii="宋体" w:hAnsi="宋体" w:eastAsia="宋体" w:cs="宋体"/>
          <w:b/>
          <w:color w:val="000000"/>
          <w:kern w:val="2"/>
          <w:sz w:val="24"/>
          <w:szCs w:val="24"/>
          <w:lang w:val="en-US" w:eastAsia="zh-CN" w:bidi="ar-SA"/>
        </w:rPr>
      </w:pPr>
    </w:p>
    <w:p>
      <w:pPr>
        <w:tabs>
          <w:tab w:val="left" w:pos="720"/>
        </w:tabs>
        <w:spacing w:line="360" w:lineRule="auto"/>
        <w:outlineLvl w:val="0"/>
        <w:rPr>
          <w:rFonts w:hint="eastAsia" w:ascii="宋体" w:hAnsi="宋体" w:cs="宋体"/>
          <w:b/>
          <w:color w:val="auto"/>
          <w:sz w:val="24"/>
          <w:szCs w:val="24"/>
        </w:rPr>
      </w:pPr>
      <w:r>
        <w:rPr>
          <w:rFonts w:hint="eastAsia" w:ascii="宋体" w:hAnsi="宋体" w:eastAsia="宋体" w:cs="宋体"/>
          <w:b/>
          <w:color w:val="000000"/>
          <w:kern w:val="2"/>
          <w:sz w:val="24"/>
          <w:szCs w:val="24"/>
          <w:lang w:val="en-US" w:eastAsia="zh-CN" w:bidi="ar-SA"/>
        </w:rPr>
        <w:t>附件十一：               项目组人员</w:t>
      </w:r>
      <w:r>
        <w:rPr>
          <w:rFonts w:hint="eastAsia" w:ascii="宋体" w:hAnsi="宋体" w:cs="宋体"/>
          <w:b/>
          <w:color w:val="auto"/>
          <w:sz w:val="24"/>
          <w:szCs w:val="24"/>
        </w:rPr>
        <w:t>配备情况表</w:t>
      </w:r>
    </w:p>
    <w:tbl>
      <w:tblPr>
        <w:tblStyle w:val="24"/>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57"/>
        <w:gridCol w:w="1527"/>
        <w:gridCol w:w="851"/>
        <w:gridCol w:w="1364"/>
        <w:gridCol w:w="181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default" w:ascii="宋体" w:hAnsi="宋体" w:eastAsia="宋体" w:cs="Times New Roman"/>
                <w:bCs/>
                <w:color w:val="auto"/>
                <w:kern w:val="0"/>
                <w:sz w:val="21"/>
                <w:szCs w:val="21"/>
                <w:highlight w:val="none"/>
                <w:lang w:val="en-US" w:eastAsia="zh-CN" w:bidi="ar-SA"/>
              </w:rPr>
              <w:t>序号</w:t>
            </w:r>
          </w:p>
        </w:tc>
        <w:tc>
          <w:tcPr>
            <w:tcW w:w="1757"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姓名</w:t>
            </w:r>
          </w:p>
        </w:tc>
        <w:tc>
          <w:tcPr>
            <w:tcW w:w="1527"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证书编号</w:t>
            </w:r>
          </w:p>
        </w:tc>
        <w:tc>
          <w:tcPr>
            <w:tcW w:w="851"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default" w:ascii="宋体" w:hAnsi="宋体" w:eastAsia="宋体" w:cs="Times New Roman"/>
                <w:bCs/>
                <w:color w:val="auto"/>
                <w:kern w:val="0"/>
                <w:sz w:val="21"/>
                <w:szCs w:val="21"/>
                <w:highlight w:val="none"/>
                <w:lang w:val="en-US" w:eastAsia="zh-CN" w:bidi="ar-SA"/>
              </w:rPr>
              <w:t>职称</w:t>
            </w:r>
          </w:p>
        </w:tc>
        <w:tc>
          <w:tcPr>
            <w:tcW w:w="1364"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年龄</w:t>
            </w:r>
          </w:p>
        </w:tc>
        <w:tc>
          <w:tcPr>
            <w:tcW w:w="1814"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拟派岗位</w:t>
            </w:r>
          </w:p>
        </w:tc>
        <w:tc>
          <w:tcPr>
            <w:tcW w:w="1719"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1</w:t>
            </w:r>
          </w:p>
        </w:tc>
        <w:tc>
          <w:tcPr>
            <w:tcW w:w="1757"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宋体"/>
                <w:color w:val="auto"/>
                <w:sz w:val="21"/>
                <w:szCs w:val="21"/>
                <w:highlight w:val="none"/>
                <w:lang w:val="en-US" w:eastAsia="zh-CN" w:bidi="ar"/>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宋体" w:eastAsia="宋体" w:cs="Times New Roman"/>
                <w:color w:val="auto"/>
                <w:kern w:val="0"/>
                <w:sz w:val="21"/>
                <w:szCs w:val="21"/>
                <w:highlight w:val="none"/>
              </w:rPr>
            </w:pPr>
            <w:r>
              <w:rPr>
                <w:rFonts w:hint="eastAsia" w:ascii="宋体" w:hAnsi="宋体" w:eastAsia="宋体" w:cs="Times New Roman"/>
                <w:color w:val="FF0000"/>
                <w:sz w:val="21"/>
                <w:szCs w:val="21"/>
                <w:highlight w:val="none"/>
              </w:rPr>
              <w:t>项目经理</w:t>
            </w:r>
            <w:r>
              <w:rPr>
                <w:rFonts w:hint="eastAsia" w:ascii="宋体" w:hAnsi="宋体" w:eastAsia="宋体" w:cs="Times New Roman"/>
                <w:color w:val="FF0000"/>
                <w:sz w:val="21"/>
                <w:szCs w:val="21"/>
                <w:highlight w:val="none"/>
                <w:lang w:eastAsia="zh-CN"/>
              </w:rPr>
              <w:t>（</w:t>
            </w:r>
            <w:r>
              <w:rPr>
                <w:rFonts w:hint="eastAsia" w:ascii="宋体" w:hAnsi="宋体" w:eastAsia="宋体" w:cs="Times New Roman"/>
                <w:color w:val="FF0000"/>
                <w:sz w:val="21"/>
                <w:szCs w:val="21"/>
                <w:highlight w:val="none"/>
                <w:lang w:val="en-US" w:eastAsia="zh-CN"/>
              </w:rPr>
              <w:t>即项目负责人，下同</w:t>
            </w:r>
            <w:r>
              <w:rPr>
                <w:rFonts w:hint="eastAsia" w:ascii="宋体" w:hAnsi="宋体" w:eastAsia="宋体" w:cs="Times New Roman"/>
                <w:color w:val="FF0000"/>
                <w:sz w:val="21"/>
                <w:szCs w:val="21"/>
                <w:highlight w:val="none"/>
                <w:lang w:eastAsia="zh-CN"/>
              </w:rPr>
              <w:t>）</w:t>
            </w:r>
          </w:p>
        </w:tc>
        <w:tc>
          <w:tcPr>
            <w:tcW w:w="1719"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2</w:t>
            </w:r>
          </w:p>
        </w:tc>
        <w:tc>
          <w:tcPr>
            <w:tcW w:w="1757"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宋体"/>
                <w:color w:val="auto"/>
                <w:sz w:val="21"/>
                <w:szCs w:val="21"/>
                <w:highlight w:val="none"/>
                <w:lang w:eastAsia="en-US" w:bidi="ar"/>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宋体" w:eastAsia="宋体" w:cs="Times New Roman"/>
                <w:color w:val="auto"/>
                <w:kern w:val="0"/>
                <w:sz w:val="21"/>
                <w:szCs w:val="21"/>
                <w:highlight w:val="none"/>
              </w:rPr>
            </w:pPr>
            <w:r>
              <w:rPr>
                <w:rFonts w:hint="eastAsia" w:ascii="宋体" w:hAnsi="宋体" w:eastAsia="宋体" w:cs="Times New Roman"/>
                <w:color w:val="FF0000"/>
                <w:sz w:val="21"/>
                <w:szCs w:val="21"/>
                <w:highlight w:val="none"/>
              </w:rPr>
              <w:t>项目技术负责人</w:t>
            </w:r>
          </w:p>
        </w:tc>
        <w:tc>
          <w:tcPr>
            <w:tcW w:w="1719"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3</w:t>
            </w:r>
          </w:p>
        </w:tc>
        <w:tc>
          <w:tcPr>
            <w:tcW w:w="1757" w:type="dxa"/>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宋体"/>
                <w:color w:val="auto"/>
                <w:sz w:val="21"/>
                <w:szCs w:val="21"/>
                <w:highlight w:val="none"/>
                <w:lang w:eastAsia="en-US" w:bidi="ar"/>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宋体" w:eastAsia="宋体" w:cs="Times New Roman"/>
                <w:color w:val="auto"/>
                <w:kern w:val="0"/>
                <w:sz w:val="21"/>
                <w:szCs w:val="21"/>
                <w:highlight w:val="none"/>
              </w:rPr>
            </w:pPr>
            <w:r>
              <w:rPr>
                <w:rFonts w:hint="eastAsia" w:ascii="宋体" w:hAnsi="宋体" w:eastAsia="宋体" w:cs="Times New Roman"/>
                <w:color w:val="FF0000"/>
                <w:sz w:val="21"/>
                <w:szCs w:val="21"/>
                <w:highlight w:val="none"/>
              </w:rPr>
              <w:t>安全负责人</w:t>
            </w:r>
          </w:p>
        </w:tc>
        <w:tc>
          <w:tcPr>
            <w:tcW w:w="1719"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eastAsia" w:ascii="宋体" w:hAnsi="宋体" w:eastAsia="宋体" w:cs="Times New Roman"/>
                <w:color w:val="auto"/>
                <w:kern w:val="0"/>
                <w:sz w:val="21"/>
                <w:szCs w:val="21"/>
                <w:highlight w:val="none"/>
                <w:lang w:val="en-US" w:eastAsia="zh-CN" w:bidi="ar-SA"/>
              </w:rPr>
            </w:pPr>
          </w:p>
        </w:tc>
        <w:tc>
          <w:tcPr>
            <w:tcW w:w="175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宋体" w:eastAsia="宋体" w:cs="Times New Roman"/>
                <w:color w:val="auto"/>
                <w:kern w:val="0"/>
                <w:sz w:val="21"/>
                <w:szCs w:val="21"/>
                <w:highlight w:val="none"/>
              </w:rPr>
            </w:pPr>
          </w:p>
        </w:tc>
        <w:tc>
          <w:tcPr>
            <w:tcW w:w="1719"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eastAsia" w:ascii="宋体" w:hAnsi="宋体" w:eastAsia="宋体" w:cs="Times New Roman"/>
                <w:color w:val="auto"/>
                <w:kern w:val="0"/>
                <w:sz w:val="21"/>
                <w:szCs w:val="21"/>
                <w:highlight w:val="none"/>
                <w:lang w:val="en-US" w:eastAsia="zh-CN" w:bidi="ar-SA"/>
              </w:rPr>
            </w:pPr>
          </w:p>
        </w:tc>
        <w:tc>
          <w:tcPr>
            <w:tcW w:w="175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宋体" w:eastAsia="宋体" w:cs="Times New Roman"/>
                <w:color w:val="auto"/>
                <w:kern w:val="0"/>
                <w:sz w:val="21"/>
                <w:szCs w:val="21"/>
                <w:highlight w:val="none"/>
              </w:rPr>
            </w:pPr>
          </w:p>
        </w:tc>
        <w:tc>
          <w:tcPr>
            <w:tcW w:w="1719"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color w:val="auto"/>
                <w:kern w:val="0"/>
                <w:sz w:val="21"/>
                <w:szCs w:val="21"/>
                <w:highlight w:val="none"/>
                <w:lang w:val="en-US" w:eastAsia="zh-CN" w:bidi="ar-SA"/>
              </w:rPr>
            </w:pPr>
          </w:p>
        </w:tc>
        <w:tc>
          <w:tcPr>
            <w:tcW w:w="175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719"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noWrap w:val="0"/>
            <w:vAlign w:val="center"/>
          </w:tcPr>
          <w:p>
            <w:pPr>
              <w:keepNext w:val="0"/>
              <w:keepLines w:val="0"/>
              <w:widowControl w:val="0"/>
              <w:suppressLineNumbers w:val="0"/>
              <w:spacing w:before="120" w:beforeAutospacing="0" w:after="120" w:afterAutospacing="0"/>
              <w:ind w:left="0" w:right="0"/>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w:t>
            </w:r>
          </w:p>
        </w:tc>
        <w:tc>
          <w:tcPr>
            <w:tcW w:w="175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w:t>
            </w:r>
          </w:p>
        </w:tc>
        <w:tc>
          <w:tcPr>
            <w:tcW w:w="1527"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851"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36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814"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c>
          <w:tcPr>
            <w:tcW w:w="1719" w:type="dxa"/>
            <w:noWrap w:val="0"/>
            <w:vAlign w:val="center"/>
          </w:tcPr>
          <w:p>
            <w:pPr>
              <w:keepNext w:val="0"/>
              <w:keepLines w:val="0"/>
              <w:widowControl w:val="0"/>
              <w:suppressLineNumbers w:val="0"/>
              <w:spacing w:before="120" w:beforeAutospacing="0" w:after="120" w:afterAutospacing="0"/>
              <w:ind w:left="0" w:right="0"/>
              <w:jc w:val="both"/>
              <w:rPr>
                <w:rFonts w:hint="default" w:ascii="宋体" w:hAnsi="宋体" w:eastAsia="宋体" w:cs="Times New Roman"/>
                <w:color w:val="auto"/>
                <w:kern w:val="0"/>
                <w:sz w:val="21"/>
                <w:szCs w:val="21"/>
                <w:highlight w:val="none"/>
                <w:lang w:val="en-US" w:eastAsia="zh-CN" w:bidi="ar-SA"/>
              </w:rPr>
            </w:pPr>
          </w:p>
        </w:tc>
      </w:tr>
    </w:tbl>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rPr>
        <w:t>注：</w:t>
      </w: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项目经理（项目经理的相关资料如在项目经理简历表下提供，本表后则无须再提供）：身份证（正反双面）、职称资格证书、有效期内的施工企业项目负责人安全生产考核合格证书（B类）、建造师注册证书；项目技术负责人：身份证（正反双面）、职称资格证书、有效期内的施工企业项目负</w:t>
      </w:r>
      <w:r>
        <w:rPr>
          <w:rFonts w:hint="eastAsia" w:ascii="宋体" w:hAnsi="宋体" w:eastAsia="宋体" w:cs="宋体"/>
          <w:bCs/>
          <w:color w:val="auto"/>
          <w:kern w:val="0"/>
          <w:sz w:val="21"/>
          <w:szCs w:val="21"/>
          <w:highlight w:val="none"/>
        </w:rPr>
        <w:t>责人安全生产考核合格证书（B类）；安全负责人：身份证（正反双面）、</w:t>
      </w:r>
      <w:r>
        <w:rPr>
          <w:rFonts w:hint="eastAsia" w:ascii="宋体" w:hAnsi="宋体" w:eastAsia="宋体" w:cs="宋体"/>
          <w:bCs/>
          <w:color w:val="auto"/>
          <w:kern w:val="0"/>
          <w:sz w:val="21"/>
          <w:szCs w:val="21"/>
          <w:highlight w:val="none"/>
          <w:lang w:eastAsia="zh-CN"/>
        </w:rPr>
        <w:t>有效期内的施工企业专职安全生产管理人员安全生产考核合格证书（C类）</w:t>
      </w:r>
      <w:r>
        <w:rPr>
          <w:rFonts w:hint="eastAsia" w:ascii="宋体" w:hAnsi="宋体" w:eastAsia="宋体" w:cs="宋体"/>
          <w:bCs/>
          <w:color w:val="auto"/>
          <w:kern w:val="0"/>
          <w:sz w:val="21"/>
          <w:szCs w:val="21"/>
          <w:highlight w:val="none"/>
        </w:rPr>
        <w:t>。</w:t>
      </w:r>
    </w:p>
    <w:p>
      <w:pPr>
        <w:numPr>
          <w:ilvl w:val="0"/>
          <w:numId w:val="0"/>
        </w:numPr>
        <w:spacing w:line="360" w:lineRule="auto"/>
        <w:ind w:left="360" w:leftChars="0"/>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rPr>
        <w:t>拟委任的项目经理的建造师注册证书、安全生产考核合格证书和项目技术负责人、安全负责人的安全生产考核合格证书上单位名称应与投标人名称一致，否则审查不予通过。</w:t>
      </w:r>
    </w:p>
    <w:p>
      <w:pPr>
        <w:numPr>
          <w:ilvl w:val="0"/>
          <w:numId w:val="0"/>
        </w:numPr>
        <w:spacing w:line="360" w:lineRule="auto"/>
        <w:ind w:left="360" w:leftChars="0"/>
        <w:rPr>
          <w:rFonts w:hint="eastAsia" w:ascii="宋体" w:hAnsi="宋体" w:eastAsia="宋体" w:cs="宋体"/>
          <w:b/>
          <w:bCs/>
          <w:color w:val="auto"/>
          <w:kern w:val="0"/>
          <w:sz w:val="21"/>
          <w:szCs w:val="21"/>
        </w:rPr>
      </w:pP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表中拟派岗位人员请参照“第四部分</w:t>
      </w:r>
      <w:r>
        <w:rPr>
          <w:rFonts w:hint="eastAsia" w:ascii="宋体" w:hAnsi="宋体" w:eastAsia="宋体" w:cs="宋体"/>
          <w:bCs/>
          <w:color w:val="auto"/>
          <w:kern w:val="0"/>
          <w:sz w:val="21"/>
          <w:szCs w:val="21"/>
          <w:lang w:eastAsia="zh-CN"/>
        </w:rPr>
        <w:t>”</w:t>
      </w:r>
      <w:r>
        <w:rPr>
          <w:rFonts w:hint="eastAsia" w:ascii="宋体" w:hAnsi="宋体" w:eastAsia="宋体" w:cs="宋体"/>
          <w:bCs/>
          <w:color w:val="auto"/>
          <w:kern w:val="0"/>
          <w:sz w:val="21"/>
          <w:szCs w:val="21"/>
        </w:rPr>
        <w:t>评标办法及评分标准”中拟派人员要求填写，并附上相关人员的</w:t>
      </w:r>
      <w:r>
        <w:rPr>
          <w:rFonts w:hint="eastAsia" w:ascii="宋体" w:hAnsi="宋体" w:eastAsia="宋体" w:cs="宋体"/>
          <w:bCs/>
          <w:color w:val="auto"/>
          <w:kern w:val="0"/>
          <w:sz w:val="21"/>
          <w:szCs w:val="21"/>
          <w:lang w:val="en-US" w:eastAsia="zh-CN"/>
        </w:rPr>
        <w:t>资格证书、社保证明</w:t>
      </w:r>
      <w:r>
        <w:rPr>
          <w:rFonts w:hint="eastAsia" w:ascii="宋体" w:hAnsi="宋体" w:eastAsia="宋体" w:cs="宋体"/>
          <w:bCs/>
          <w:color w:val="auto"/>
          <w:kern w:val="0"/>
          <w:sz w:val="21"/>
          <w:szCs w:val="21"/>
          <w:highlight w:val="none"/>
        </w:rPr>
        <w:t>等</w:t>
      </w:r>
      <w:r>
        <w:rPr>
          <w:rFonts w:hint="eastAsia" w:ascii="宋体" w:hAnsi="宋体" w:eastAsia="宋体" w:cs="宋体"/>
          <w:bCs/>
          <w:color w:val="auto"/>
          <w:kern w:val="0"/>
          <w:sz w:val="21"/>
          <w:szCs w:val="21"/>
        </w:rPr>
        <w:t>影响评审或评分的材料。</w:t>
      </w:r>
    </w:p>
    <w:p>
      <w:pPr>
        <w:pStyle w:val="10"/>
        <w:spacing w:beforeLines="0" w:afterLines="0" w:line="360" w:lineRule="auto"/>
        <w:rPr>
          <w:rFonts w:hint="eastAsia" w:ascii="宋体" w:hAnsi="宋体" w:eastAsia="宋体" w:cs="宋体"/>
          <w:b/>
          <w:bCs/>
          <w:color w:val="auto"/>
          <w:kern w:val="0"/>
          <w:sz w:val="21"/>
          <w:szCs w:val="21"/>
        </w:rPr>
      </w:pPr>
      <w:r>
        <w:rPr>
          <w:rFonts w:hint="eastAsia" w:ascii="宋体" w:hAnsi="宋体" w:eastAsia="宋体" w:cs="宋体"/>
          <w:bCs/>
          <w:color w:val="auto"/>
          <w:kern w:val="0"/>
          <w:sz w:val="21"/>
          <w:szCs w:val="21"/>
        </w:rPr>
        <w:t xml:space="preserve">   </w:t>
      </w:r>
      <w:r>
        <w:rPr>
          <w:rFonts w:hint="eastAsia"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lang w:eastAsia="zh-CN"/>
        </w:rPr>
        <w:t>供应商</w:t>
      </w:r>
      <w:r>
        <w:rPr>
          <w:rFonts w:hint="eastAsia" w:ascii="宋体" w:hAnsi="宋体" w:eastAsia="宋体" w:cs="宋体"/>
          <w:bCs/>
          <w:color w:val="auto"/>
          <w:kern w:val="0"/>
          <w:sz w:val="21"/>
          <w:szCs w:val="21"/>
        </w:rPr>
        <w:t>可根据自身情况调整表格。</w:t>
      </w:r>
    </w:p>
    <w:p>
      <w:pPr>
        <w:numPr>
          <w:ilvl w:val="0"/>
          <w:numId w:val="0"/>
        </w:numPr>
        <w:spacing w:line="360" w:lineRule="auto"/>
        <w:ind w:firstLine="4320" w:firstLineChars="1800"/>
        <w:rPr>
          <w:rFonts w:hint="eastAsia" w:ascii="宋体" w:hAnsi="宋体" w:eastAsia="宋体" w:cs="宋体"/>
          <w:color w:val="auto"/>
          <w:sz w:val="21"/>
          <w:szCs w:val="21"/>
          <w:lang w:val="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1"/>
          <w:szCs w:val="21"/>
        </w:rPr>
        <w:t>磋商人名称</w:t>
      </w:r>
      <w:r>
        <w:rPr>
          <w:rFonts w:hint="eastAsia" w:ascii="宋体" w:hAnsi="宋体" w:eastAsia="宋体" w:cs="宋体"/>
          <w:color w:val="auto"/>
          <w:sz w:val="21"/>
          <w:szCs w:val="21"/>
          <w:lang w:val="zh-CN"/>
        </w:rPr>
        <w:t>（盖单位章）：</w:t>
      </w:r>
    </w:p>
    <w:p>
      <w:pPr>
        <w:pStyle w:val="3"/>
        <w:pageBreakBefore w:val="0"/>
        <w:widowControl w:val="0"/>
        <w:kinsoku/>
        <w:wordWrap/>
        <w:overflowPunct/>
        <w:topLinePunct w:val="0"/>
        <w:autoSpaceDE/>
        <w:autoSpaceDN/>
        <w:bidi w:val="0"/>
        <w:adjustRightInd/>
        <w:snapToGrid/>
        <w:spacing w:before="312" w:beforeLines="100" w:after="0" w:line="360" w:lineRule="auto"/>
        <w:jc w:val="both"/>
        <w:textAlignment w:val="auto"/>
        <w:rPr>
          <w:rFonts w:hint="eastAsia" w:ascii="宋体" w:hAnsi="宋体" w:eastAsia="宋体"/>
          <w:bCs w:val="0"/>
          <w:color w:val="auto"/>
          <w:lang w:val="zh-CN"/>
        </w:rPr>
      </w:pPr>
      <w:r>
        <w:rPr>
          <w:rFonts w:hint="eastAsia" w:ascii="宋体" w:hAnsi="宋体" w:eastAsia="宋体" w:cs="宋体"/>
          <w:color w:val="auto"/>
          <w:sz w:val="21"/>
          <w:szCs w:val="21"/>
          <w:lang w:val="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kern w:val="2"/>
          <w:sz w:val="21"/>
          <w:szCs w:val="21"/>
          <w:lang w:val="en-US" w:eastAsia="zh-CN" w:bidi="ar-SA"/>
        </w:rPr>
        <w:t xml:space="preserve"> 日  期：        年    月    日</w:t>
      </w:r>
    </w:p>
    <w:p>
      <w:pPr>
        <w:rPr>
          <w:rFonts w:hint="eastAsia"/>
        </w:rPr>
      </w:pPr>
    </w:p>
    <w:p>
      <w:pPr>
        <w:pStyle w:val="7"/>
        <w:jc w:val="left"/>
        <w:rPr>
          <w:rFonts w:hint="eastAsia" w:ascii="宋体" w:hAnsi="宋体" w:cs="宋体"/>
          <w:b/>
          <w:color w:val="auto"/>
          <w:sz w:val="24"/>
          <w:szCs w:val="24"/>
        </w:rPr>
      </w:pPr>
    </w:p>
    <w:p>
      <w:pPr>
        <w:pStyle w:val="7"/>
        <w:jc w:val="left"/>
        <w:rPr>
          <w:rFonts w:hint="eastAsia" w:ascii="宋体" w:hAnsi="宋体" w:cs="宋体"/>
          <w:b/>
          <w:color w:val="auto"/>
          <w:sz w:val="24"/>
          <w:szCs w:val="24"/>
        </w:rPr>
      </w:pPr>
    </w:p>
    <w:p>
      <w:pPr>
        <w:pStyle w:val="7"/>
        <w:jc w:val="left"/>
        <w:rPr>
          <w:rFonts w:hint="eastAsia" w:ascii="宋体" w:hAnsi="宋体" w:cs="宋体"/>
          <w:b/>
          <w:color w:val="auto"/>
          <w:sz w:val="24"/>
          <w:szCs w:val="24"/>
        </w:rPr>
      </w:pPr>
    </w:p>
    <w:p>
      <w:pPr>
        <w:pStyle w:val="7"/>
        <w:jc w:val="left"/>
        <w:rPr>
          <w:rFonts w:hint="eastAsia" w:ascii="宋体" w:hAnsi="宋体" w:cs="宋体"/>
          <w:b/>
          <w:color w:val="auto"/>
          <w:sz w:val="24"/>
          <w:szCs w:val="24"/>
        </w:rPr>
      </w:pPr>
    </w:p>
    <w:p>
      <w:pPr>
        <w:pStyle w:val="7"/>
        <w:jc w:val="left"/>
        <w:rPr>
          <w:rFonts w:hint="eastAsia" w:ascii="宋体" w:hAnsi="宋体" w:cs="宋体"/>
          <w:b/>
          <w:color w:val="auto"/>
          <w:sz w:val="24"/>
          <w:szCs w:val="24"/>
        </w:rPr>
      </w:pPr>
    </w:p>
    <w:p>
      <w:pPr>
        <w:pStyle w:val="7"/>
        <w:jc w:val="left"/>
        <w:rPr>
          <w:rFonts w:hint="eastAsia" w:ascii="宋体" w:hAnsi="宋体" w:eastAsia="宋体" w:cs="宋体"/>
          <w:b/>
          <w:color w:val="auto"/>
          <w:sz w:val="24"/>
          <w:szCs w:val="24"/>
          <w:lang w:val="en-US" w:eastAsia="zh-CN"/>
        </w:rPr>
      </w:pPr>
      <w:r>
        <w:rPr>
          <w:rFonts w:hint="eastAsia" w:ascii="宋体" w:hAnsi="宋体" w:cs="宋体"/>
          <w:b/>
          <w:color w:val="auto"/>
          <w:sz w:val="24"/>
          <w:szCs w:val="24"/>
        </w:rPr>
        <w:t>附表</w:t>
      </w:r>
      <w:r>
        <w:rPr>
          <w:rFonts w:hint="eastAsia" w:ascii="宋体" w:hAnsi="宋体" w:eastAsia="宋体" w:cs="宋体"/>
          <w:b/>
          <w:color w:val="auto"/>
          <w:sz w:val="24"/>
          <w:szCs w:val="24"/>
          <w:lang w:val="en-US" w:eastAsia="zh-CN"/>
        </w:rPr>
        <w:t>十二</w:t>
      </w:r>
      <w:r>
        <w:rPr>
          <w:rFonts w:hint="eastAsia" w:ascii="宋体" w:hAnsi="宋体" w:cs="宋体"/>
          <w:b/>
          <w:color w:val="auto"/>
          <w:sz w:val="24"/>
          <w:szCs w:val="24"/>
        </w:rPr>
        <w:t>：</w:t>
      </w:r>
      <w:bookmarkEnd w:id="2735"/>
      <w:bookmarkEnd w:id="2736"/>
      <w:bookmarkEnd w:id="2737"/>
      <w:bookmarkEnd w:id="2738"/>
      <w:r>
        <w:rPr>
          <w:rFonts w:hint="eastAsia" w:ascii="宋体" w:hAnsi="宋体" w:eastAsia="宋体" w:cs="宋体"/>
          <w:b/>
          <w:color w:val="auto"/>
          <w:sz w:val="24"/>
          <w:szCs w:val="24"/>
          <w:lang w:val="en-US" w:eastAsia="zh-CN"/>
        </w:rPr>
        <w:t xml:space="preserve">               </w:t>
      </w:r>
    </w:p>
    <w:p>
      <w:pPr>
        <w:pStyle w:val="7"/>
        <w:jc w:val="center"/>
        <w:rPr>
          <w:rFonts w:hint="eastAsia" w:ascii="宋体" w:hAnsi="宋体" w:eastAsia="宋体" w:cs="宋体"/>
          <w:b/>
          <w:color w:val="auto"/>
          <w:sz w:val="32"/>
          <w:szCs w:val="32"/>
          <w:lang w:val="en-US" w:eastAsia="zh-CN"/>
        </w:rPr>
      </w:pPr>
      <w:r>
        <w:rPr>
          <w:rFonts w:hint="eastAsia" w:ascii="宋体" w:hAnsi="宋体" w:eastAsia="宋体" w:cs="宋体"/>
          <w:b/>
          <w:sz w:val="32"/>
          <w:szCs w:val="32"/>
        </w:rPr>
        <w:t>主要施工机械设备表</w:t>
      </w:r>
    </w:p>
    <w:p>
      <w:pPr>
        <w:pStyle w:val="8"/>
        <w:rPr>
          <w:rFonts w:hint="eastAsia"/>
          <w:lang w:val="en-US" w:eastAsia="zh-CN"/>
        </w:rPr>
      </w:pPr>
    </w:p>
    <w:tbl>
      <w:tblPr>
        <w:tblStyle w:val="24"/>
        <w:tblW w:w="9558" w:type="dxa"/>
        <w:tblInd w:w="0" w:type="dxa"/>
        <w:tblLayout w:type="fixed"/>
        <w:tblCellMar>
          <w:top w:w="0" w:type="dxa"/>
          <w:left w:w="108" w:type="dxa"/>
          <w:bottom w:w="0" w:type="dxa"/>
          <w:right w:w="108" w:type="dxa"/>
        </w:tblCellMar>
      </w:tblPr>
      <w:tblGrid>
        <w:gridCol w:w="824"/>
        <w:gridCol w:w="1433"/>
        <w:gridCol w:w="1433"/>
        <w:gridCol w:w="1054"/>
        <w:gridCol w:w="1413"/>
        <w:gridCol w:w="2262"/>
        <w:gridCol w:w="1139"/>
      </w:tblGrid>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序号</w:t>
            </w: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设备名称</w:t>
            </w: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规格型号</w:t>
            </w: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数量</w:t>
            </w: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设备能力</w:t>
            </w: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进场时间</w:t>
            </w: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备注</w:t>
            </w: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3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6" w:hRule="atLeast"/>
        </w:trPr>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1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226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13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bl>
    <w:p>
      <w:pPr>
        <w:pStyle w:val="10"/>
        <w:spacing w:before="60" w:after="60" w:line="500" w:lineRule="exact"/>
        <w:ind w:firstLine="480" w:firstLineChars="200"/>
        <w:rPr>
          <w:rFonts w:hint="eastAsia" w:hAnsi="宋体" w:cs="宋体"/>
          <w:color w:val="auto"/>
          <w:sz w:val="24"/>
          <w:highlight w:val="none"/>
        </w:rPr>
      </w:pPr>
    </w:p>
    <w:p>
      <w:pPr>
        <w:spacing w:line="360" w:lineRule="auto"/>
        <w:rPr>
          <w:rFonts w:hint="eastAsia" w:ascii="宋体" w:hAnsi="宋体" w:eastAsia="宋体" w:cs="宋体"/>
          <w:sz w:val="21"/>
          <w:szCs w:val="21"/>
          <w:lang w:val="en-US" w:eastAsia="zh-CN"/>
        </w:rPr>
      </w:pPr>
    </w:p>
    <w:p>
      <w:pPr>
        <w:spacing w:line="360" w:lineRule="auto"/>
        <w:ind w:firstLine="4830" w:firstLineChars="2300"/>
        <w:rPr>
          <w:rFonts w:ascii="宋体" w:hAnsi="宋体" w:eastAsia="宋体" w:cs="宋体"/>
          <w:sz w:val="21"/>
          <w:szCs w:val="21"/>
          <w:lang w:val="zh-CN"/>
        </w:rPr>
      </w:pPr>
      <w:r>
        <w:rPr>
          <w:rFonts w:hint="eastAsia" w:ascii="宋体" w:hAnsi="宋体" w:eastAsia="宋体" w:cs="宋体"/>
          <w:sz w:val="21"/>
          <w:szCs w:val="21"/>
        </w:rPr>
        <w:t>磋商人名称</w:t>
      </w:r>
      <w:r>
        <w:rPr>
          <w:rFonts w:hint="eastAsia" w:ascii="宋体" w:hAnsi="宋体" w:eastAsia="宋体" w:cs="宋体"/>
          <w:sz w:val="21"/>
          <w:szCs w:val="21"/>
          <w:lang w:val="zh-CN"/>
        </w:rPr>
        <w:t>（盖单位章）：</w:t>
      </w:r>
    </w:p>
    <w:p>
      <w:pPr>
        <w:pStyle w:val="3"/>
        <w:spacing w:before="240" w:beforeLines="100" w:after="0" w:line="360" w:lineRule="auto"/>
        <w:rPr>
          <w:rFonts w:ascii="宋体" w:hAnsi="宋体" w:eastAsia="宋体"/>
          <w:bCs w:val="0"/>
          <w:lang w:val="zh-CN"/>
        </w:rPr>
      </w:pPr>
      <w:r>
        <w:rPr>
          <w:rFonts w:hint="eastAsia" w:ascii="宋体" w:hAnsi="宋体" w:eastAsia="宋体" w:cs="宋体"/>
          <w:sz w:val="21"/>
          <w:szCs w:val="21"/>
          <w:lang w:val="zh-CN"/>
        </w:rPr>
        <w:t xml:space="preserve">                                           </w:t>
      </w: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日  期：        年    月    日</w:t>
      </w:r>
    </w:p>
    <w:p>
      <w:pPr>
        <w:pStyle w:val="3"/>
        <w:pageBreakBefore w:val="0"/>
        <w:widowControl w:val="0"/>
        <w:kinsoku/>
        <w:wordWrap/>
        <w:overflowPunct/>
        <w:topLinePunct w:val="0"/>
        <w:autoSpaceDE/>
        <w:autoSpaceDN/>
        <w:bidi w:val="0"/>
        <w:adjustRightInd/>
        <w:snapToGrid/>
        <w:spacing w:before="312" w:beforeLines="100" w:after="0" w:line="360" w:lineRule="auto"/>
        <w:jc w:val="both"/>
        <w:textAlignment w:val="auto"/>
        <w:rPr>
          <w:rFonts w:hint="eastAsia" w:ascii="宋体" w:hAnsi="宋体" w:eastAsia="宋体"/>
          <w:bCs w:val="0"/>
          <w:color w:val="auto"/>
          <w:lang w:val="zh-CN"/>
        </w:rPr>
      </w:pPr>
    </w:p>
    <w:p>
      <w:pPr>
        <w:rPr>
          <w:rFonts w:hint="eastAsia" w:ascii="宋体" w:hAnsi="宋体" w:eastAsia="宋体"/>
          <w:bCs w:val="0"/>
          <w:color w:val="auto"/>
          <w:lang w:val="zh-CN"/>
        </w:rPr>
      </w:pPr>
    </w:p>
    <w:p>
      <w:pPr>
        <w:pStyle w:val="3"/>
        <w:pageBreakBefore w:val="0"/>
        <w:widowControl w:val="0"/>
        <w:kinsoku/>
        <w:wordWrap/>
        <w:overflowPunct/>
        <w:topLinePunct w:val="0"/>
        <w:autoSpaceDE/>
        <w:autoSpaceDN/>
        <w:bidi w:val="0"/>
        <w:adjustRightInd/>
        <w:snapToGrid/>
        <w:spacing w:before="312" w:beforeLines="100" w:after="0" w:line="360" w:lineRule="auto"/>
        <w:jc w:val="center"/>
        <w:textAlignment w:val="auto"/>
        <w:rPr>
          <w:rFonts w:ascii="宋体" w:hAnsi="宋体" w:eastAsia="宋体"/>
          <w:bCs w:val="0"/>
          <w:color w:val="auto"/>
          <w:lang w:val="zh-CN"/>
        </w:rPr>
      </w:pPr>
      <w:r>
        <w:rPr>
          <w:rFonts w:hint="eastAsia" w:ascii="宋体" w:hAnsi="宋体" w:eastAsia="宋体"/>
          <w:bCs w:val="0"/>
          <w:color w:val="auto"/>
          <w:lang w:val="zh-CN"/>
        </w:rPr>
        <w:t>3、报价文件格式</w:t>
      </w:r>
      <w:bookmarkEnd w:id="2733"/>
      <w:bookmarkEnd w:id="2734"/>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28"/>
          <w:szCs w:val="28"/>
        </w:rPr>
      </w:pPr>
      <w:r>
        <w:rPr>
          <w:rFonts w:hint="eastAsia" w:ascii="宋体" w:hAnsi="宋体"/>
          <w:b/>
          <w:bCs/>
          <w:color w:val="auto"/>
          <w:sz w:val="28"/>
          <w:szCs w:val="28"/>
        </w:rPr>
        <w:t>目   录</w:t>
      </w:r>
    </w:p>
    <w:p>
      <w:pPr>
        <w:spacing w:line="480" w:lineRule="auto"/>
        <w:jc w:val="center"/>
        <w:rPr>
          <w:rFonts w:ascii="宋体" w:hAnsi="宋体" w:cs="宋体"/>
          <w:color w:val="auto"/>
          <w:sz w:val="24"/>
        </w:rPr>
      </w:pPr>
      <w:r>
        <w:rPr>
          <w:rFonts w:hint="eastAsia" w:ascii="宋体" w:hAnsi="宋体" w:cs="宋体"/>
          <w:color w:val="auto"/>
          <w:sz w:val="24"/>
        </w:rPr>
        <w:t>（供应商可参考采购文件“第三</w:t>
      </w:r>
      <w:r>
        <w:rPr>
          <w:rFonts w:hint="eastAsia" w:ascii="宋体" w:hAnsi="宋体" w:cs="宋体"/>
          <w:color w:val="auto"/>
          <w:sz w:val="24"/>
          <w:lang w:eastAsia="zh-CN"/>
        </w:rPr>
        <w:t>部分</w:t>
      </w:r>
      <w:r>
        <w:rPr>
          <w:rFonts w:hint="eastAsia" w:ascii="宋体" w:hAnsi="宋体" w:cs="宋体"/>
          <w:color w:val="auto"/>
          <w:sz w:val="24"/>
        </w:rPr>
        <w:t xml:space="preserve"> 磋商须知”报价文件组成要求编排）</w:t>
      </w:r>
    </w:p>
    <w:p>
      <w:pPr>
        <w:snapToGrid w:val="0"/>
        <w:spacing w:before="50" w:after="50"/>
        <w:jc w:val="center"/>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w:t>
      </w:r>
      <w:r>
        <w:rPr>
          <w:rFonts w:hint="eastAsia" w:ascii="宋体" w:hAnsi="宋体" w:eastAsia="宋体" w:cs="宋体"/>
          <w:b/>
          <w:color w:val="auto"/>
          <w:sz w:val="24"/>
          <w:highlight w:val="none"/>
          <w:lang w:eastAsia="zh-CN"/>
        </w:rPr>
        <w:t>十三</w:t>
      </w:r>
      <w:r>
        <w:rPr>
          <w:rFonts w:hint="eastAsia" w:ascii="宋体" w:hAnsi="宋体" w:eastAsia="宋体" w:cs="宋体"/>
          <w:b/>
          <w:color w:val="auto"/>
          <w:sz w:val="24"/>
          <w:highlight w:val="none"/>
        </w:rPr>
        <w:t>：承诺函</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承诺函及拟派项目负责人在投标截止日无在其他任何在建合同工程上担任项目负责人的承诺）</w:t>
      </w:r>
    </w:p>
    <w:p>
      <w:pPr>
        <w:keepNext w:val="0"/>
        <w:keepLines w:val="0"/>
        <w:widowControl/>
        <w:suppressLineNumbers w:val="0"/>
        <w:jc w:val="center"/>
        <w:rPr>
          <w:color w:val="auto"/>
          <w:highlight w:val="none"/>
        </w:rPr>
      </w:pPr>
      <w:r>
        <w:rPr>
          <w:rFonts w:hint="eastAsia" w:ascii="宋体" w:hAnsi="宋体" w:eastAsia="宋体" w:cs="宋体"/>
          <w:b/>
          <w:bCs/>
          <w:color w:val="auto"/>
          <w:kern w:val="0"/>
          <w:sz w:val="31"/>
          <w:szCs w:val="31"/>
          <w:highlight w:val="none"/>
          <w:lang w:val="en-US" w:eastAsia="zh-CN" w:bidi="ar"/>
        </w:rPr>
        <w:t>(一)承诺函</w:t>
      </w:r>
    </w:p>
    <w:p>
      <w:pPr>
        <w:snapToGrid w:val="0"/>
        <w:spacing w:line="460" w:lineRule="exact"/>
        <w:rPr>
          <w:color w:val="auto"/>
          <w:highlight w:val="none"/>
        </w:rPr>
      </w:pPr>
      <w:r>
        <w:rPr>
          <w:rFonts w:hint="eastAsia" w:eastAsia="宋体" w:cs="Calibri"/>
          <w:color w:val="auto"/>
          <w:kern w:val="0"/>
          <w:sz w:val="21"/>
          <w:szCs w:val="21"/>
          <w:highlight w:val="none"/>
          <w:u w:val="single"/>
          <w:lang w:val="en-US" w:eastAsia="zh-CN" w:bidi="ar"/>
        </w:rPr>
        <w:t>仙居县交通运输局、浙江省成套招标代理有限公司</w:t>
      </w:r>
      <w:r>
        <w:rPr>
          <w:rFonts w:hint="eastAsia" w:ascii="宋体" w:hAnsi="宋体" w:eastAsia="宋体" w:cs="宋体"/>
          <w:color w:val="auto"/>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600" w:lineRule="exact"/>
        <w:ind w:firstLine="630" w:firstLineChars="3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我方参加了</w:t>
      </w:r>
      <w:r>
        <w:rPr>
          <w:rFonts w:hint="eastAsia" w:eastAsia="宋体" w:cs="Calibri"/>
          <w:color w:val="auto"/>
          <w:kern w:val="0"/>
          <w:sz w:val="21"/>
          <w:szCs w:val="21"/>
          <w:highlight w:val="none"/>
          <w:u w:val="single"/>
          <w:lang w:val="en-US" w:eastAsia="zh-CN" w:bidi="ar"/>
        </w:rPr>
        <w:t>仙居县城乡冷链物流设施项目—物流网点连接线工程（下各镇）</w:t>
      </w:r>
      <w:r>
        <w:rPr>
          <w:rFonts w:hint="eastAsia" w:ascii="宋体" w:hAnsi="宋体" w:eastAsia="宋体" w:cs="宋体"/>
          <w:color w:val="auto"/>
          <w:kern w:val="0"/>
          <w:sz w:val="21"/>
          <w:szCs w:val="21"/>
          <w:highlight w:val="none"/>
          <w:lang w:val="en-US" w:eastAsia="zh-CN" w:bidi="ar"/>
        </w:rPr>
        <w:t xml:space="preserve">（项目名称）施工投标，若我方中标，我方在此承诺： </w:t>
      </w:r>
    </w:p>
    <w:p>
      <w:pPr>
        <w:keepNext w:val="0"/>
        <w:keepLines w:val="0"/>
        <w:pageBreakBefore w:val="0"/>
        <w:widowControl/>
        <w:suppressLineNumbers w:val="0"/>
        <w:kinsoku/>
        <w:wordWrap/>
        <w:overflowPunct/>
        <w:topLinePunct w:val="0"/>
        <w:autoSpaceDE/>
        <w:autoSpaceDN/>
        <w:bidi w:val="0"/>
        <w:spacing w:line="600" w:lineRule="exact"/>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 xml:space="preserve">若我方已按本项目招标文件要求在投标文件中填报派驻本标段的其他主要管理人员和技术人员及主要机械设备和试验检测设备，我方将严格按照在投标文件中填报的其他主要管理人员和技术人员及主要机械设备和试验检测设备组织进场施工。 </w:t>
      </w:r>
    </w:p>
    <w:p>
      <w:pPr>
        <w:keepNext w:val="0"/>
        <w:keepLines w:val="0"/>
        <w:pageBreakBefore w:val="0"/>
        <w:widowControl/>
        <w:suppressLineNumbers w:val="0"/>
        <w:kinsoku/>
        <w:wordWrap/>
        <w:overflowPunct/>
        <w:topLinePunct w:val="0"/>
        <w:autoSpaceDE/>
        <w:autoSpaceDN/>
        <w:bidi w:val="0"/>
        <w:spacing w:line="600" w:lineRule="exact"/>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 xml:space="preserve">我方承诺：在招标人发出中标通知书前接受明显不平衡报价的修正。 </w:t>
      </w:r>
    </w:p>
    <w:p>
      <w:pPr>
        <w:keepNext w:val="0"/>
        <w:keepLines w:val="0"/>
        <w:pageBreakBefore w:val="0"/>
        <w:widowControl/>
        <w:suppressLineNumbers w:val="0"/>
        <w:kinsoku/>
        <w:wordWrap/>
        <w:overflowPunct/>
        <w:topLinePunct w:val="0"/>
        <w:autoSpaceDE/>
        <w:autoSpaceDN/>
        <w:bidi w:val="0"/>
        <w:spacing w:line="600" w:lineRule="exact"/>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 xml:space="preserve">如我方违背了上述承诺，本项目招标人有权将我方的违约行为上报省级交通主管部门，作为不良记录纳入浙江省交通运输厅公路建设市场信息管理系统。 </w:t>
      </w:r>
    </w:p>
    <w:p>
      <w:pPr>
        <w:keepNext w:val="0"/>
        <w:keepLines w:val="0"/>
        <w:pageBreakBefore w:val="0"/>
        <w:kinsoku/>
        <w:wordWrap/>
        <w:overflowPunct/>
        <w:topLinePunct w:val="0"/>
        <w:autoSpaceDE/>
        <w:autoSpaceDN/>
        <w:bidi w:val="0"/>
        <w:adjustRightInd w:val="0"/>
        <w:snapToGrid w:val="0"/>
        <w:spacing w:line="600" w:lineRule="exact"/>
        <w:ind w:firstLine="6120" w:firstLineChars="2550"/>
        <w:jc w:val="right"/>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autoSpaceDE/>
        <w:autoSpaceDN/>
        <w:bidi w:val="0"/>
        <w:adjustRightInd w:val="0"/>
        <w:snapToGrid w:val="0"/>
        <w:spacing w:line="600" w:lineRule="exact"/>
        <w:ind w:firstLine="6120" w:firstLineChars="2550"/>
        <w:jc w:val="right"/>
        <w:textAlignment w:val="auto"/>
        <w:rPr>
          <w:rFonts w:hint="eastAsia" w:ascii="宋体" w:hAnsi="宋体" w:eastAsia="宋体" w:cs="宋体"/>
          <w:color w:val="auto"/>
          <w:kern w:val="0"/>
          <w:sz w:val="24"/>
          <w:highlight w:val="none"/>
          <w:lang w:val="zh-CN"/>
        </w:rPr>
      </w:pPr>
      <w:r>
        <w:rPr>
          <w:rFonts w:hint="eastAsia" w:ascii="宋体" w:hAnsi="宋体" w:cs="宋体"/>
          <w:color w:val="auto"/>
          <w:sz w:val="24"/>
          <w:highlight w:val="none"/>
          <w:lang w:eastAsia="zh-CN"/>
        </w:rPr>
        <w:t>磋商供应商</w:t>
      </w:r>
      <w:r>
        <w:rPr>
          <w:rFonts w:hint="eastAsia" w:ascii="宋体" w:hAnsi="宋体" w:eastAsia="宋体" w:cs="宋体"/>
          <w:color w:val="auto"/>
          <w:kern w:val="0"/>
          <w:sz w:val="24"/>
          <w:highlight w:val="none"/>
          <w:lang w:val="zh-CN"/>
        </w:rPr>
        <w:t>(公章)：</w:t>
      </w:r>
    </w:p>
    <w:p>
      <w:pPr>
        <w:keepNext w:val="0"/>
        <w:keepLines w:val="0"/>
        <w:pageBreakBefore w:val="0"/>
        <w:kinsoku/>
        <w:wordWrap/>
        <w:overflowPunct/>
        <w:topLinePunct w:val="0"/>
        <w:autoSpaceDE/>
        <w:autoSpaceDN/>
        <w:bidi w:val="0"/>
        <w:adjustRightInd w:val="0"/>
        <w:snapToGrid w:val="0"/>
        <w:spacing w:line="600" w:lineRule="exact"/>
        <w:jc w:val="righ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pStyle w:val="7"/>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pStyle w:val="8"/>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7"/>
        <w:rPr>
          <w:rFonts w:hint="eastAsia" w:ascii="宋体" w:hAnsi="宋体" w:eastAsia="宋体" w:cs="宋体"/>
          <w:color w:val="auto"/>
          <w:kern w:val="0"/>
          <w:sz w:val="24"/>
          <w:highlight w:val="none"/>
          <w:lang w:val="zh-CN"/>
        </w:rPr>
      </w:pPr>
    </w:p>
    <w:p>
      <w:pPr>
        <w:pStyle w:val="8"/>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7"/>
        <w:rPr>
          <w:rFonts w:hint="eastAsia" w:ascii="宋体" w:hAnsi="宋体" w:eastAsia="宋体" w:cs="宋体"/>
          <w:color w:val="auto"/>
          <w:kern w:val="0"/>
          <w:sz w:val="24"/>
          <w:highlight w:val="none"/>
          <w:lang w:val="zh-CN"/>
        </w:rPr>
      </w:pPr>
    </w:p>
    <w:p>
      <w:pPr>
        <w:pStyle w:val="8"/>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7"/>
        <w:rPr>
          <w:rFonts w:hint="eastAsia" w:ascii="宋体" w:hAnsi="宋体" w:eastAsia="宋体" w:cs="宋体"/>
          <w:color w:val="auto"/>
          <w:kern w:val="0"/>
          <w:sz w:val="24"/>
          <w:highlight w:val="none"/>
          <w:lang w:val="zh-CN"/>
        </w:rPr>
      </w:pPr>
    </w:p>
    <w:p>
      <w:pPr>
        <w:pStyle w:val="8"/>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7"/>
        <w:rPr>
          <w:rFonts w:hint="eastAsia"/>
          <w:color w:val="auto"/>
          <w:highlight w:val="none"/>
          <w:lang w:val="zh-CN"/>
        </w:rPr>
      </w:pPr>
    </w:p>
    <w:p>
      <w:pPr>
        <w:rPr>
          <w:rFonts w:hint="eastAsia" w:ascii="宋体" w:hAnsi="宋体" w:eastAsia="宋体" w:cs="宋体"/>
          <w:color w:val="auto"/>
          <w:kern w:val="0"/>
          <w:sz w:val="24"/>
          <w:highlight w:val="none"/>
          <w:lang w:val="zh-CN"/>
        </w:rPr>
      </w:pPr>
    </w:p>
    <w:p>
      <w:pPr>
        <w:pStyle w:val="7"/>
        <w:rPr>
          <w:rFonts w:hint="eastAsia" w:ascii="宋体" w:hAnsi="宋体" w:eastAsia="宋体" w:cs="宋体"/>
          <w:color w:val="auto"/>
          <w:kern w:val="0"/>
          <w:sz w:val="24"/>
          <w:highlight w:val="none"/>
          <w:lang w:val="zh-CN"/>
        </w:rPr>
      </w:pPr>
    </w:p>
    <w:p>
      <w:pPr>
        <w:pStyle w:val="8"/>
        <w:rPr>
          <w:rFonts w:hint="eastAsia" w:ascii="宋体" w:hAnsi="宋体" w:eastAsia="宋体" w:cs="宋体"/>
          <w:color w:val="auto"/>
          <w:kern w:val="0"/>
          <w:sz w:val="24"/>
          <w:highlight w:val="none"/>
          <w:lang w:val="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color w:val="auto"/>
          <w:highlight w:val="none"/>
        </w:rPr>
      </w:pPr>
      <w:r>
        <w:rPr>
          <w:rFonts w:hint="eastAsia" w:ascii="宋体" w:hAnsi="宋体" w:eastAsia="宋体" w:cs="宋体"/>
          <w:b/>
          <w:bCs/>
          <w:color w:val="auto"/>
          <w:kern w:val="0"/>
          <w:sz w:val="31"/>
          <w:szCs w:val="31"/>
          <w:highlight w:val="none"/>
          <w:lang w:val="en-US" w:eastAsia="zh-CN" w:bidi="ar"/>
        </w:rPr>
        <w:t xml:space="preserve">（二）项目负责人在投标截止日无在其他任何在建合同工程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color w:val="auto"/>
          <w:highlight w:val="none"/>
        </w:rPr>
      </w:pPr>
      <w:r>
        <w:rPr>
          <w:rFonts w:hint="eastAsia" w:ascii="宋体" w:hAnsi="宋体" w:eastAsia="宋体" w:cs="宋体"/>
          <w:b/>
          <w:bCs/>
          <w:color w:val="auto"/>
          <w:kern w:val="0"/>
          <w:sz w:val="31"/>
          <w:szCs w:val="31"/>
          <w:highlight w:val="none"/>
          <w:lang w:val="en-US" w:eastAsia="zh-CN" w:bidi="ar"/>
        </w:rPr>
        <w:t>上担任项目负责人的承诺书（格式）</w:t>
      </w:r>
    </w:p>
    <w:p>
      <w:pPr>
        <w:snapToGrid w:val="0"/>
        <w:spacing w:line="460" w:lineRule="exact"/>
        <w:rPr>
          <w:rFonts w:hint="eastAsia" w:ascii="宋体" w:hAnsi="宋体" w:eastAsia="宋体" w:cs="宋体"/>
          <w:color w:val="auto"/>
          <w:sz w:val="24"/>
          <w:highlight w:val="none"/>
          <w:u w:val="single"/>
          <w:lang w:eastAsia="zh-CN"/>
        </w:rPr>
      </w:pPr>
    </w:p>
    <w:p>
      <w:pPr>
        <w:snapToGrid w:val="0"/>
        <w:spacing w:line="460" w:lineRule="exact"/>
        <w:rPr>
          <w:color w:val="auto"/>
          <w:highlight w:val="none"/>
        </w:rPr>
      </w:pPr>
      <w:r>
        <w:rPr>
          <w:rFonts w:hint="eastAsia" w:eastAsia="宋体" w:cs="Calibri"/>
          <w:color w:val="auto"/>
          <w:kern w:val="0"/>
          <w:sz w:val="21"/>
          <w:szCs w:val="21"/>
          <w:highlight w:val="none"/>
          <w:u w:val="single"/>
          <w:lang w:val="en-US" w:eastAsia="zh-CN" w:bidi="ar"/>
        </w:rPr>
        <w:t>仙居县交通运输局、浙江省成套招标代理有限公司</w:t>
      </w:r>
      <w:r>
        <w:rPr>
          <w:rFonts w:hint="eastAsia" w:eastAsia="宋体" w:cs="Calibri"/>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我公司及拟项目负责人承诺，拟派参加</w:t>
      </w:r>
      <w:r>
        <w:rPr>
          <w:rFonts w:hint="eastAsia" w:eastAsia="宋体" w:cs="Calibri"/>
          <w:color w:val="auto"/>
          <w:kern w:val="0"/>
          <w:sz w:val="21"/>
          <w:szCs w:val="21"/>
          <w:highlight w:val="none"/>
          <w:u w:val="single"/>
          <w:lang w:val="en-US" w:eastAsia="zh-CN" w:bidi="ar"/>
        </w:rPr>
        <w:t>仙居县城乡冷链物流设施项目—物流网点连接线工程（下各镇）</w:t>
      </w:r>
      <w:r>
        <w:rPr>
          <w:rFonts w:hint="eastAsia" w:ascii="宋体" w:hAnsi="宋体" w:eastAsia="宋体" w:cs="宋体"/>
          <w:color w:val="auto"/>
          <w:kern w:val="0"/>
          <w:sz w:val="21"/>
          <w:szCs w:val="21"/>
          <w:highlight w:val="none"/>
          <w:lang w:val="en-US" w:eastAsia="zh-CN" w:bidi="ar"/>
        </w:rPr>
        <w:t>（项目名称）投标的项目负责人</w:t>
      </w:r>
      <w:r>
        <w:rPr>
          <w:rFonts w:hint="default" w:ascii="Calibri" w:hAnsi="Calibri" w:eastAsia="宋体" w:cs="Calibri"/>
          <w:color w:val="auto"/>
          <w:kern w:val="0"/>
          <w:sz w:val="21"/>
          <w:szCs w:val="21"/>
          <w:highlight w:val="none"/>
          <w:lang w:val="en-US" w:eastAsia="zh-CN" w:bidi="ar"/>
        </w:rPr>
        <w:t>__________________</w:t>
      </w:r>
      <w:r>
        <w:rPr>
          <w:rFonts w:hint="eastAsia" w:ascii="宋体" w:hAnsi="宋体" w:eastAsia="宋体" w:cs="宋体"/>
          <w:color w:val="auto"/>
          <w:kern w:val="0"/>
          <w:sz w:val="21"/>
          <w:szCs w:val="21"/>
          <w:highlight w:val="none"/>
          <w:lang w:val="en-US" w:eastAsia="zh-CN" w:bidi="ar"/>
        </w:rPr>
        <w:t xml:space="preserve">在投标截止日无在其他在建合同工程上担任项目负责人的情形。在建合同工程的开始时间为合同工程中标通知书发出日期（不通过招标方式的，开始时间为合同签订日期），结束时间为该合同通过合同验收或合同解除日期。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岂以上承诺如有虚假，给招标人造成损失的，愿意依法承担赔偿责任。如已中标，同意招标人取消我公司中标资格的处理。</w:t>
      </w:r>
    </w:p>
    <w:p>
      <w:pPr>
        <w:rPr>
          <w:rFonts w:hint="eastAsia"/>
          <w:color w:val="auto"/>
          <w:highlight w:val="none"/>
        </w:rPr>
      </w:pPr>
    </w:p>
    <w:p>
      <w:pPr>
        <w:pStyle w:val="8"/>
        <w:rPr>
          <w:rFonts w:hint="eastAsia"/>
          <w:color w:val="auto"/>
          <w:highlight w:val="none"/>
        </w:rPr>
      </w:pPr>
    </w:p>
    <w:p>
      <w:pPr>
        <w:keepNext w:val="0"/>
        <w:keepLines w:val="0"/>
        <w:pageBreakBefore w:val="0"/>
        <w:kinsoku/>
        <w:wordWrap/>
        <w:overflowPunct/>
        <w:topLinePunct w:val="0"/>
        <w:autoSpaceDE/>
        <w:autoSpaceDN/>
        <w:bidi w:val="0"/>
        <w:adjustRightInd w:val="0"/>
        <w:snapToGrid w:val="0"/>
        <w:spacing w:line="600" w:lineRule="exact"/>
        <w:ind w:firstLine="6120" w:firstLineChars="2550"/>
        <w:jc w:val="right"/>
        <w:textAlignment w:val="auto"/>
        <w:rPr>
          <w:rFonts w:hint="eastAsia" w:ascii="宋体" w:hAnsi="宋体" w:eastAsia="宋体" w:cs="宋体"/>
          <w:color w:val="auto"/>
          <w:kern w:val="0"/>
          <w:sz w:val="24"/>
          <w:highlight w:val="none"/>
          <w:lang w:val="zh-CN"/>
        </w:rPr>
      </w:pPr>
      <w:r>
        <w:rPr>
          <w:rFonts w:hint="eastAsia" w:ascii="宋体" w:hAnsi="宋体" w:cs="宋体"/>
          <w:color w:val="auto"/>
          <w:sz w:val="24"/>
          <w:highlight w:val="none"/>
          <w:lang w:eastAsia="zh-CN"/>
        </w:rPr>
        <w:t>磋商供应商</w:t>
      </w:r>
      <w:r>
        <w:rPr>
          <w:rFonts w:hint="eastAsia" w:ascii="宋体" w:hAnsi="宋体" w:eastAsia="宋体" w:cs="宋体"/>
          <w:color w:val="auto"/>
          <w:kern w:val="0"/>
          <w:sz w:val="24"/>
          <w:highlight w:val="none"/>
          <w:lang w:val="zh-CN"/>
        </w:rPr>
        <w:t>(公章)：</w:t>
      </w:r>
    </w:p>
    <w:p>
      <w:pPr>
        <w:keepNext w:val="0"/>
        <w:keepLines w:val="0"/>
        <w:pageBreakBefore w:val="0"/>
        <w:kinsoku/>
        <w:wordWrap/>
        <w:overflowPunct/>
        <w:topLinePunct w:val="0"/>
        <w:autoSpaceDE/>
        <w:autoSpaceDN/>
        <w:bidi w:val="0"/>
        <w:adjustRightInd w:val="0"/>
        <w:snapToGrid w:val="0"/>
        <w:spacing w:line="600" w:lineRule="exact"/>
        <w:jc w:val="righ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keepNext w:val="0"/>
        <w:keepLines w:val="0"/>
        <w:pageBreakBefore w:val="0"/>
        <w:kinsoku/>
        <w:wordWrap/>
        <w:overflowPunct/>
        <w:topLinePunct w:val="0"/>
        <w:autoSpaceDE/>
        <w:autoSpaceDN/>
        <w:bidi w:val="0"/>
        <w:spacing w:line="600" w:lineRule="exact"/>
        <w:ind w:firstLine="424" w:firstLineChars="177"/>
        <w:jc w:val="righ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lang w:val="zh-CN"/>
        </w:rPr>
      </w:pPr>
      <w:r>
        <w:rPr>
          <w:rFonts w:hint="eastAsia" w:ascii="宋体" w:hAnsi="宋体" w:eastAsia="宋体" w:cs="宋体"/>
          <w:b/>
          <w:color w:val="auto"/>
          <w:sz w:val="24"/>
          <w:szCs w:val="24"/>
        </w:rPr>
        <w:t>附件</w:t>
      </w:r>
      <w:r>
        <w:rPr>
          <w:rFonts w:hint="eastAsia" w:ascii="宋体" w:hAnsi="宋体" w:eastAsia="宋体" w:cs="宋体"/>
          <w:b/>
          <w:color w:val="auto"/>
          <w:sz w:val="24"/>
          <w:szCs w:val="24"/>
          <w:lang w:val="en-US" w:eastAsia="zh-CN"/>
        </w:rPr>
        <w:t xml:space="preserve">十四 </w:t>
      </w:r>
      <w:r>
        <w:rPr>
          <w:rFonts w:hint="eastAsia" w:ascii="宋体" w:hAnsi="宋体" w:eastAsia="宋体" w:cs="宋体"/>
          <w:b/>
          <w:color w:val="auto"/>
          <w:sz w:val="24"/>
          <w:szCs w:val="24"/>
        </w:rPr>
        <w:t>：</w:t>
      </w:r>
    </w:p>
    <w:p>
      <w:pPr>
        <w:snapToGrid w:val="0"/>
        <w:spacing w:before="50" w:after="50"/>
        <w:jc w:val="center"/>
        <w:rPr>
          <w:rFonts w:hint="eastAsia" w:ascii="宋体" w:hAnsi="宋体" w:eastAsia="宋体" w:cs="宋体"/>
          <w:b/>
          <w:color w:val="auto"/>
          <w:sz w:val="24"/>
          <w:szCs w:val="24"/>
        </w:rPr>
      </w:pPr>
    </w:p>
    <w:p>
      <w:pPr>
        <w:snapToGrid w:val="0"/>
        <w:spacing w:before="50" w:after="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磋商报价一览表</w:t>
      </w:r>
      <w:r>
        <w:rPr>
          <w:rFonts w:hint="eastAsia" w:ascii="宋体" w:hAnsi="宋体" w:eastAsia="宋体" w:cs="宋体"/>
          <w:b/>
          <w:bCs/>
          <w:color w:val="auto"/>
          <w:sz w:val="24"/>
          <w:szCs w:val="24"/>
        </w:rPr>
        <w:t>（首次报价）</w:t>
      </w:r>
    </w:p>
    <w:p>
      <w:pPr>
        <w:snapToGrid w:val="0"/>
        <w:spacing w:before="50" w:after="50" w:line="360" w:lineRule="auto"/>
        <w:ind w:right="-1058" w:rightChars="-294"/>
        <w:jc w:val="left"/>
        <w:rPr>
          <w:rFonts w:hint="eastAsia" w:ascii="宋体" w:hAnsi="宋体" w:eastAsia="宋体" w:cs="宋体"/>
          <w:color w:val="auto"/>
          <w:sz w:val="24"/>
          <w:szCs w:val="24"/>
        </w:rPr>
      </w:pPr>
    </w:p>
    <w:p>
      <w:pPr>
        <w:snapToGrid w:val="0"/>
        <w:spacing w:before="50" w:after="50" w:line="360" w:lineRule="auto"/>
        <w:ind w:right="-1058" w:rightChars="-294"/>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仙居县城乡冷链物流设施项目—物流网点连接线工程（下各镇）</w:t>
      </w:r>
      <w:r>
        <w:rPr>
          <w:rFonts w:hint="eastAsia" w:ascii="宋体" w:hAnsi="宋体" w:eastAsia="宋体" w:cs="宋体"/>
          <w:color w:val="auto"/>
          <w:sz w:val="24"/>
          <w:szCs w:val="24"/>
          <w:lang w:val="en-US" w:eastAsia="zh-CN"/>
        </w:rPr>
        <w:t xml:space="preserve"> </w:t>
      </w:r>
    </w:p>
    <w:tbl>
      <w:tblPr>
        <w:tblStyle w:val="24"/>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3"/>
        <w:gridCol w:w="982"/>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113" w:type="dxa"/>
            <w:vMerge w:val="restart"/>
            <w:noWrap w:val="0"/>
            <w:vAlign w:val="center"/>
          </w:tcPr>
          <w:p>
            <w:pPr>
              <w:keepNext w:val="0"/>
              <w:keepLines w:val="0"/>
              <w:suppressLineNumbers w:val="0"/>
              <w:snapToGrid w:val="0"/>
              <w:spacing w:before="50" w:beforeAutospacing="0" w:after="50" w:afterAutospacing="0" w:line="360" w:lineRule="auto"/>
              <w:ind w:left="0" w:right="-1058" w:rightChars="-294" w:firstLine="240" w:firstLineChars="100"/>
              <w:jc w:val="left"/>
              <w:rPr>
                <w:rFonts w:hint="default" w:ascii="宋体" w:hAnsi="宋体"/>
                <w:b/>
                <w:bCs/>
                <w:color w:val="auto"/>
                <w:sz w:val="24"/>
              </w:rPr>
            </w:pPr>
            <w:r>
              <w:rPr>
                <w:rFonts w:hint="eastAsia" w:ascii="宋体" w:hAnsi="宋体"/>
                <w:b/>
                <w:bCs/>
                <w:color w:val="auto"/>
                <w:sz w:val="24"/>
              </w:rPr>
              <w:t>磋商</w:t>
            </w:r>
            <w:r>
              <w:rPr>
                <w:rFonts w:hint="eastAsia" w:ascii="宋体" w:hAnsi="宋体"/>
                <w:b/>
                <w:bCs/>
                <w:color w:val="auto"/>
                <w:sz w:val="24"/>
                <w:lang w:eastAsia="zh-CN"/>
              </w:rPr>
              <w:t>总</w:t>
            </w:r>
            <w:r>
              <w:rPr>
                <w:rFonts w:hint="eastAsia" w:ascii="宋体" w:hAnsi="宋体"/>
                <w:b/>
                <w:bCs/>
                <w:color w:val="auto"/>
                <w:sz w:val="24"/>
              </w:rPr>
              <w:t>报价（元）</w:t>
            </w:r>
          </w:p>
        </w:tc>
        <w:tc>
          <w:tcPr>
            <w:tcW w:w="982"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eastAsia="宋体"/>
                <w:b/>
                <w:bCs/>
                <w:color w:val="auto"/>
                <w:sz w:val="21"/>
                <w:szCs w:val="21"/>
                <w:lang w:eastAsia="zh-CN"/>
              </w:rPr>
            </w:pPr>
            <w:r>
              <w:rPr>
                <w:rFonts w:hint="eastAsia" w:ascii="宋体" w:hAnsi="宋体"/>
                <w:b/>
                <w:bCs/>
                <w:color w:val="auto"/>
                <w:sz w:val="21"/>
                <w:szCs w:val="21"/>
                <w:lang w:eastAsia="zh-CN"/>
              </w:rPr>
              <w:t>小写：</w:t>
            </w:r>
          </w:p>
        </w:tc>
        <w:tc>
          <w:tcPr>
            <w:tcW w:w="4750"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b/>
                <w:bCs/>
                <w:color w:val="auto"/>
                <w:sz w:val="24"/>
                <w:lang w:eastAsia="zh-CN"/>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13" w:type="dxa"/>
            <w:vMerge w:val="continue"/>
            <w:noWrap w:val="0"/>
            <w:vAlign w:val="center"/>
          </w:tcPr>
          <w:p>
            <w:pPr>
              <w:keepNext w:val="0"/>
              <w:keepLines w:val="0"/>
              <w:suppressLineNumbers w:val="0"/>
              <w:snapToGrid w:val="0"/>
              <w:spacing w:before="50" w:beforeAutospacing="0" w:after="50" w:afterAutospacing="0" w:line="360" w:lineRule="auto"/>
              <w:ind w:left="0" w:right="-1058" w:rightChars="-294"/>
              <w:jc w:val="center"/>
              <w:rPr>
                <w:rFonts w:hint="default" w:ascii="宋体" w:hAnsi="宋体"/>
                <w:b/>
                <w:bCs/>
                <w:color w:val="auto"/>
                <w:sz w:val="24"/>
              </w:rPr>
            </w:pPr>
          </w:p>
        </w:tc>
        <w:tc>
          <w:tcPr>
            <w:tcW w:w="982"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eastAsia="宋体"/>
                <w:b/>
                <w:bCs/>
                <w:color w:val="auto"/>
                <w:sz w:val="21"/>
                <w:szCs w:val="21"/>
                <w:lang w:eastAsia="zh-CN"/>
              </w:rPr>
            </w:pPr>
            <w:r>
              <w:rPr>
                <w:rFonts w:hint="eastAsia" w:ascii="宋体" w:hAnsi="宋体"/>
                <w:b/>
                <w:bCs/>
                <w:color w:val="auto"/>
                <w:sz w:val="21"/>
                <w:szCs w:val="21"/>
                <w:lang w:eastAsia="zh-CN"/>
              </w:rPr>
              <w:t>大写：</w:t>
            </w:r>
          </w:p>
        </w:tc>
        <w:tc>
          <w:tcPr>
            <w:tcW w:w="4750"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b/>
                <w:bCs/>
                <w:color w:val="auto"/>
                <w:sz w:val="24"/>
                <w:lang w:eastAsia="zh-CN"/>
              </w:rPr>
            </w:pPr>
            <w:r>
              <w:rPr>
                <w:rFonts w:hint="eastAsia" w:ascii="宋体" w:hAnsi="宋体" w:eastAsia="宋体" w:cs="宋体"/>
                <w:b/>
                <w:bCs/>
                <w:color w:val="auto"/>
                <w:sz w:val="21"/>
                <w:szCs w:val="21"/>
              </w:rPr>
              <w:t>人民币：</w:t>
            </w:r>
            <w:r>
              <w:rPr>
                <w:rFonts w:hint="eastAsia" w:ascii="宋体" w:hAnsi="宋体" w:eastAsia="宋体" w:cs="宋体"/>
                <w:b/>
                <w:bCs/>
                <w:color w:val="auto"/>
                <w:sz w:val="21"/>
                <w:szCs w:val="21"/>
                <w:u w:val="single"/>
              </w:rPr>
              <w:t xml:space="preserve">                            </w:t>
            </w:r>
          </w:p>
        </w:tc>
      </w:tr>
    </w:tbl>
    <w:p>
      <w:pPr>
        <w:snapToGrid w:val="0"/>
        <w:spacing w:before="50" w:after="5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rPr>
        <w:t xml:space="preserve">注: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报价指完成本项目所需的</w:t>
      </w:r>
      <w:r>
        <w:rPr>
          <w:rFonts w:hint="eastAsia" w:ascii="宋体" w:hAnsi="宋体" w:eastAsia="宋体" w:cs="宋体"/>
          <w:color w:val="auto"/>
          <w:sz w:val="21"/>
          <w:szCs w:val="21"/>
          <w:highlight w:val="none"/>
          <w:lang w:eastAsia="zh-CN"/>
        </w:rPr>
        <w:t>包含所有一切人员工资、各种加班费、节假日补贴、各种社会保险、安全保险、食宿与交通、材料费、机械费、人工费、辅助材料费、建筑垃圾清运费、保险费、管理费、规费以及所有税收、利润、总承包服务费、采购代理服务费等</w:t>
      </w:r>
      <w:r>
        <w:rPr>
          <w:rFonts w:hint="eastAsia" w:ascii="宋体" w:hAnsi="宋体" w:eastAsia="宋体" w:cs="宋体"/>
          <w:color w:val="auto"/>
          <w:sz w:val="21"/>
          <w:szCs w:val="21"/>
          <w:highlight w:val="none"/>
        </w:rPr>
        <w:t>、政策性文件规定及合同包含的所有风险责任等一切费用等完成合同所需的一切本身和不可或缺的所有工作开支、政策性文件规定及合同包含的所有风险、责任等各项全部费用并承担一切风险责任</w:t>
      </w:r>
      <w:r>
        <w:rPr>
          <w:rFonts w:hint="eastAsia" w:ascii="宋体" w:hAnsi="宋体" w:eastAsia="宋体" w:cs="宋体"/>
          <w:color w:val="auto"/>
          <w:sz w:val="21"/>
          <w:szCs w:val="21"/>
          <w:highlight w:val="none"/>
          <w:lang w:eastAsia="zh-CN"/>
        </w:rPr>
        <w:t>。</w:t>
      </w:r>
    </w:p>
    <w:p>
      <w:pPr>
        <w:snapToGrid w:val="0"/>
        <w:spacing w:before="50" w:after="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报价一经涂改，应在涂改处加盖单位公章，或者由法定代表人或</w:t>
      </w:r>
      <w:r>
        <w:rPr>
          <w:rFonts w:hint="eastAsia" w:ascii="宋体" w:hAnsi="宋体" w:eastAsia="宋体" w:cs="宋体"/>
          <w:color w:val="auto"/>
          <w:sz w:val="21"/>
          <w:szCs w:val="21"/>
          <w:lang w:eastAsia="zh-CN"/>
        </w:rPr>
        <w:t>全权代表</w:t>
      </w:r>
      <w:r>
        <w:rPr>
          <w:rFonts w:hint="eastAsia" w:ascii="宋体" w:hAnsi="宋体" w:eastAsia="宋体" w:cs="宋体"/>
          <w:color w:val="auto"/>
          <w:sz w:val="21"/>
          <w:szCs w:val="21"/>
        </w:rPr>
        <w:t>签字或盖章，否则其</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无效。</w:t>
      </w:r>
    </w:p>
    <w:p>
      <w:pPr>
        <w:snapToGrid w:val="0"/>
        <w:spacing w:before="50" w:after="50"/>
        <w:ind w:right="-1400" w:rightChars="-389"/>
        <w:rPr>
          <w:rFonts w:hint="eastAsia" w:ascii="宋体" w:hAnsi="宋体" w:eastAsia="宋体" w:cs="宋体"/>
          <w:color w:val="auto"/>
          <w:sz w:val="24"/>
          <w:szCs w:val="24"/>
        </w:rPr>
      </w:pPr>
    </w:p>
    <w:p>
      <w:pPr>
        <w:snapToGrid w:val="0"/>
        <w:spacing w:before="50" w:after="50"/>
        <w:ind w:right="-1400" w:rightChars="-389"/>
        <w:rPr>
          <w:rFonts w:hint="eastAsia" w:ascii="宋体" w:hAnsi="宋体" w:eastAsia="宋体" w:cs="宋体"/>
          <w:color w:val="auto"/>
          <w:sz w:val="24"/>
          <w:szCs w:val="24"/>
        </w:rPr>
      </w:pPr>
    </w:p>
    <w:p>
      <w:pPr>
        <w:snapToGrid w:val="0"/>
        <w:spacing w:before="50" w:after="50"/>
        <w:ind w:left="-111" w:leftChars="-72" w:right="-1400" w:rightChars="-389" w:hanging="148" w:hangingChars="62"/>
        <w:rPr>
          <w:rFonts w:hint="eastAsia" w:ascii="宋体" w:hAnsi="宋体" w:eastAsia="宋体" w:cs="宋体"/>
          <w:color w:val="auto"/>
          <w:sz w:val="24"/>
          <w:szCs w:val="24"/>
        </w:rPr>
      </w:pPr>
    </w:p>
    <w:p>
      <w:pPr>
        <w:snapToGrid w:val="0"/>
        <w:spacing w:before="50" w:after="50"/>
        <w:ind w:left="-111" w:leftChars="-72" w:right="-1400" w:rightChars="-389" w:hanging="148" w:hangingChars="62"/>
        <w:rPr>
          <w:rFonts w:hint="eastAsia" w:ascii="宋体" w:hAnsi="宋体" w:eastAsia="宋体" w:cs="宋体"/>
          <w:color w:val="auto"/>
          <w:sz w:val="24"/>
          <w:szCs w:val="24"/>
        </w:rPr>
      </w:pPr>
    </w:p>
    <w:p>
      <w:pPr>
        <w:snapToGrid w:val="0"/>
        <w:spacing w:before="50" w:after="50"/>
        <w:ind w:right="-1400" w:rightChars="-389"/>
        <w:rPr>
          <w:rFonts w:hint="eastAsia" w:ascii="宋体" w:hAnsi="宋体" w:eastAsia="宋体" w:cs="宋体"/>
          <w:color w:val="auto"/>
          <w:sz w:val="24"/>
          <w:szCs w:val="24"/>
        </w:rPr>
      </w:pPr>
    </w:p>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snapToGrid w:val="0"/>
        <w:spacing w:before="50" w:after="50"/>
        <w:jc w:val="center"/>
        <w:rPr>
          <w:rFonts w:ascii="宋体" w:hAnsi="宋体"/>
          <w:color w:val="auto"/>
          <w:sz w:val="24"/>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snapToGrid w:val="0"/>
        <w:spacing w:before="156" w:beforeLines="50"/>
        <w:rPr>
          <w:rFonts w:hint="eastAsia" w:ascii="宋体" w:hAnsi="宋体" w:eastAsia="宋体" w:cs="宋体"/>
          <w:color w:val="auto"/>
          <w:sz w:val="21"/>
          <w:szCs w:val="21"/>
        </w:rPr>
      </w:pPr>
    </w:p>
    <w:p>
      <w:pPr>
        <w:snapToGrid w:val="0"/>
        <w:spacing w:before="50" w:after="50"/>
        <w:jc w:val="both"/>
        <w:rPr>
          <w:rFonts w:hint="eastAsia" w:ascii="宋体" w:hAnsi="宋体" w:eastAsia="宋体" w:cs="宋体"/>
          <w:b/>
          <w:color w:val="auto"/>
          <w:sz w:val="21"/>
          <w:szCs w:val="21"/>
        </w:rPr>
      </w:pPr>
    </w:p>
    <w:p>
      <w:pPr>
        <w:snapToGrid w:val="0"/>
        <w:spacing w:before="50" w:after="50"/>
        <w:jc w:val="both"/>
        <w:rPr>
          <w:rFonts w:hint="eastAsia" w:ascii="宋体" w:hAnsi="宋体" w:eastAsia="宋体" w:cs="宋体"/>
          <w:b/>
          <w:color w:val="auto"/>
          <w:sz w:val="21"/>
          <w:szCs w:val="21"/>
        </w:rPr>
      </w:pPr>
    </w:p>
    <w:p>
      <w:pPr>
        <w:snapToGrid w:val="0"/>
        <w:spacing w:before="50" w:after="50"/>
        <w:jc w:val="both"/>
        <w:rPr>
          <w:rFonts w:hint="eastAsia" w:ascii="宋体" w:hAnsi="宋体" w:eastAsia="宋体" w:cs="宋体"/>
          <w:b/>
          <w:color w:val="auto"/>
          <w:sz w:val="21"/>
          <w:szCs w:val="21"/>
        </w:rPr>
      </w:pPr>
    </w:p>
    <w:p>
      <w:pPr>
        <w:pStyle w:val="7"/>
        <w:rPr>
          <w:rFonts w:hint="eastAsia" w:ascii="宋体" w:hAnsi="宋体" w:eastAsia="宋体" w:cs="宋体"/>
          <w:b/>
          <w:color w:val="auto"/>
          <w:sz w:val="21"/>
          <w:szCs w:val="21"/>
        </w:rPr>
      </w:pPr>
    </w:p>
    <w:p>
      <w:pPr>
        <w:pStyle w:val="8"/>
        <w:rPr>
          <w:rFonts w:hint="eastAsia"/>
          <w:color w:val="auto"/>
        </w:rPr>
      </w:pPr>
    </w:p>
    <w:p>
      <w:pPr>
        <w:snapToGrid w:val="0"/>
        <w:spacing w:before="50" w:after="50"/>
        <w:jc w:val="both"/>
        <w:rPr>
          <w:rFonts w:hint="eastAsia" w:ascii="宋体" w:hAnsi="宋体" w:eastAsia="宋体" w:cs="宋体"/>
          <w:b/>
          <w:color w:val="auto"/>
          <w:sz w:val="21"/>
          <w:szCs w:val="21"/>
        </w:rPr>
      </w:pPr>
    </w:p>
    <w:p>
      <w:pPr>
        <w:snapToGrid w:val="0"/>
        <w:spacing w:before="50" w:after="50"/>
        <w:jc w:val="left"/>
        <w:rPr>
          <w:rFonts w:hint="eastAsia" w:ascii="宋体" w:hAnsi="宋体" w:eastAsia="宋体" w:cs="宋体"/>
          <w:b/>
          <w:color w:val="auto"/>
          <w:sz w:val="24"/>
          <w:szCs w:val="24"/>
        </w:rPr>
      </w:pPr>
    </w:p>
    <w:p>
      <w:pPr>
        <w:pStyle w:val="22"/>
        <w:rPr>
          <w:rFonts w:hint="eastAsia" w:ascii="宋体" w:hAnsi="宋体" w:eastAsia="宋体" w:cs="宋体"/>
          <w:b/>
          <w:color w:val="auto"/>
          <w:sz w:val="24"/>
          <w:szCs w:val="24"/>
        </w:rPr>
      </w:pPr>
    </w:p>
    <w:p>
      <w:pPr>
        <w:rPr>
          <w:rFonts w:hint="eastAsia"/>
        </w:rPr>
      </w:pPr>
    </w:p>
    <w:p>
      <w:pPr>
        <w:snapToGrid w:val="0"/>
        <w:spacing w:before="50" w:after="50"/>
        <w:jc w:val="left"/>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color w:val="FF0000"/>
          <w:sz w:val="21"/>
          <w:szCs w:val="21"/>
          <w:lang w:val="en-US" w:eastAsia="zh-CN"/>
        </w:rPr>
      </w:pPr>
      <w:bookmarkStart w:id="2739" w:name="_Toc240724395"/>
      <w:bookmarkStart w:id="2740" w:name="_Toc309395098"/>
      <w:r>
        <w:rPr>
          <w:rFonts w:hint="eastAsia" w:ascii="宋体" w:hAnsi="宋体" w:eastAsia="宋体" w:cs="宋体"/>
          <w:b/>
          <w:color w:val="FF0000"/>
          <w:sz w:val="21"/>
          <w:szCs w:val="21"/>
          <w:lang w:val="en-US" w:eastAsia="zh-CN"/>
        </w:rPr>
        <w:t>附录（包含表1.1、表1.2、表1.3、表1.4）：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1.1工程量清单</w:t>
      </w:r>
      <w:bookmarkStart w:id="2741" w:name="_GoBack"/>
      <w:bookmarkEnd w:id="2741"/>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7"/>
        <w:gridCol w:w="1065"/>
        <w:gridCol w:w="1305"/>
        <w:gridCol w:w="1467"/>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第100章 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按合同条款规定，提供建筑工程一切险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按合同条款规定，提供安全生产责任险（含第三方责任险）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竣工文件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施工环保费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交通安全管理费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102-4</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临时工程用地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临时供电设施架设、拆除、维修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承包人驻地建设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7"/>
        <w:gridCol w:w="1065"/>
        <w:gridCol w:w="1305"/>
        <w:gridCol w:w="1467"/>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第200章 路基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挖土方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1120.814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203-2</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借方填筑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宕渣（利用）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205-1</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边沟</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边沟清理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s="宋体"/>
          <w:color w:val="auto"/>
          <w:sz w:val="21"/>
          <w:szCs w:val="21"/>
          <w:highlight w:val="none"/>
          <w:lang w:val="en-US" w:eastAsia="zh-CN"/>
        </w:rPr>
      </w:pPr>
    </w:p>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ascii="宋体" w:hAnsi="宋体"/>
          <w:color w:val="auto"/>
          <w:sz w:val="24"/>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rPr>
          <w:rFonts w:ascii="宋体" w:hAnsi="宋体"/>
          <w:color w:val="auto"/>
          <w:sz w:val="24"/>
        </w:rPr>
      </w:pPr>
      <w:r>
        <w:rPr>
          <w:rFonts w:ascii="宋体" w:hAnsi="宋体"/>
          <w:color w:val="auto"/>
          <w:sz w:val="2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olor w:val="auto"/>
          <w:sz w:val="24"/>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8"/>
        <w:gridCol w:w="1063"/>
        <w:gridCol w:w="1305"/>
        <w:gridCol w:w="1467"/>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第300章 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-d</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挖除</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3155.792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沥青混凝土路面</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铣刨</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不规则裂缝处治</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抗裂贴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4941.100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粘层</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10310.200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细粒式沥青混凝土</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厚50mm</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厚35mm</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9897.700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水泥混凝土路面破板修复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180mm厚混凝土路面（4.5MPa）</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7269.900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200mm厚混凝土路面（4.5MPa）</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12453.800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315-4</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裂缝维修（热沥青灌缝）</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5842.100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ascii="宋体" w:hAnsi="宋体"/>
          <w:color w:val="auto"/>
          <w:sz w:val="24"/>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rPr>
          <w:rFonts w:ascii="宋体" w:hAnsi="宋体"/>
          <w:color w:val="auto"/>
          <w:sz w:val="24"/>
        </w:rPr>
      </w:pPr>
      <w:r>
        <w:rPr>
          <w:rFonts w:ascii="宋体" w:hAnsi="宋体"/>
          <w:color w:val="auto"/>
          <w:sz w:val="2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rPr>
          <w:rFonts w:hint="default" w:ascii="宋体" w:hAnsi="宋体"/>
          <w:color w:val="auto"/>
          <w:sz w:val="24"/>
          <w:lang w:val="en-US" w:eastAsia="zh-CN"/>
        </w:rPr>
      </w:pP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3578"/>
        <w:gridCol w:w="1063"/>
        <w:gridCol w:w="1305"/>
        <w:gridCol w:w="1467"/>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 段：仙居县城乡冷链物流设施项目-物流网点连接线工程（下各镇）</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615" w:type="dxa"/>
            <w:gridSpan w:val="6"/>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清单 第600章 交通安全设施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子目号</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 目 名 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w:t>
            </w: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波形梁护栏维修</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602-4</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重建或新增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波形护栏（Gr-c-4E）</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波形梁钢护栏端头</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-c</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立柱钻孔，灌浆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道路交通标线局部维修</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616-1</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热熔型涂料路面标线修复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-a</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热熔标线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616-7</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轮廓标修复</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-b</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附着式轮廓标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4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13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gridSpan w:val="2"/>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合计</w:t>
            </w:r>
          </w:p>
        </w:tc>
        <w:tc>
          <w:tcPr>
            <w:tcW w:w="0" w:type="auto"/>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人民币</w:t>
            </w:r>
          </w:p>
        </w:tc>
      </w:tr>
    </w:tbl>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wordWrap w:val="0"/>
        <w:snapToGrid w:val="0"/>
        <w:spacing w:line="360" w:lineRule="auto"/>
        <w:ind w:firstLine="480" w:firstLineChars="200"/>
        <w:outlineLvl w:val="2"/>
        <w:rPr>
          <w:rFonts w:ascii="宋体" w:hAnsi="宋体"/>
          <w:color w:val="auto"/>
          <w:sz w:val="24"/>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wordWrap w:val="0"/>
        <w:snapToGrid w:val="0"/>
        <w:spacing w:line="360" w:lineRule="auto"/>
        <w:ind w:firstLine="420" w:firstLineChars="200"/>
        <w:outlineLvl w:val="2"/>
        <w:rPr>
          <w:rFonts w:ascii="宋体" w:hAnsi="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rPr>
        <w:t>.2计日工表（本项目不适用）</w:t>
      </w:r>
    </w:p>
    <w:p>
      <w:pPr>
        <w:wordWrap w:val="0"/>
        <w:snapToGrid w:val="0"/>
        <w:spacing w:line="360" w:lineRule="auto"/>
        <w:ind w:firstLine="420" w:firstLineChars="200"/>
        <w:outlineLvl w:val="2"/>
        <w:rPr>
          <w:rFonts w:ascii="宋体" w:hAnsi="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rPr>
        <w:t>.3暂估价表（本项目不适用）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rPr>
        <w:t>.4磋商报价明细表</w:t>
      </w:r>
    </w:p>
    <w:tbl>
      <w:tblPr>
        <w:tblStyle w:val="24"/>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3"/>
        <w:gridCol w:w="1708"/>
        <w:gridCol w:w="4281"/>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629"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工程量清单汇总表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标段：仙居县城乡冷链物流设施项目-物流网点连接线工程（下各镇）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57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章次</w:t>
            </w:r>
          </w:p>
        </w:tc>
        <w:tc>
          <w:tcPr>
            <w:tcW w:w="428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 目 名 称</w:t>
            </w:r>
          </w:p>
        </w:tc>
        <w:tc>
          <w:tcPr>
            <w:tcW w:w="205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第100章 总则</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第200章 路基</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第300章 路面</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4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 第600章 交通安全设施</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第100章至700章清单合计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已包含在清单合计中的材料、工程设备、专业工程暂估价合计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清单合计减去材料、工程设备、专业工程暂估价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合计(即5-6)=7</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计日工合计</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暂列金额(不含计日工总额)</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投标报价(5+8+9)=10</w:t>
            </w:r>
          </w:p>
        </w:tc>
        <w:tc>
          <w:tcPr>
            <w:tcW w:w="20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cs="宋体"/>
          <w:sz w:val="21"/>
          <w:szCs w:val="21"/>
        </w:rPr>
      </w:pPr>
    </w:p>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pStyle w:val="20"/>
        <w:widowControl w:val="0"/>
        <w:spacing w:before="0" w:beforeAutospacing="0" w:after="0" w:afterAutospacing="0" w:line="360" w:lineRule="auto"/>
        <w:jc w:val="both"/>
        <w:outlineLvl w:val="1"/>
        <w:rPr>
          <w:b/>
          <w:color w:val="000000"/>
          <w:kern w:val="2"/>
          <w:szCs w:val="20"/>
          <w:lang w:bidi="ar"/>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b/>
          <w:color w:val="000000"/>
          <w:kern w:val="2"/>
          <w:szCs w:val="20"/>
          <w:lang w:bidi="ar"/>
        </w:rPr>
      </w:pPr>
    </w:p>
    <w:p>
      <w:pPr>
        <w:snapToGrid w:val="0"/>
        <w:spacing w:before="50" w:after="50"/>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r>
        <w:rPr>
          <w:rFonts w:hint="eastAsia" w:ascii="宋体" w:hAnsi="宋体" w:eastAsia="宋体" w:cs="宋体"/>
          <w:b/>
          <w:color w:val="auto"/>
          <w:sz w:val="24"/>
          <w:szCs w:val="24"/>
          <w:lang w:val="en-US" w:eastAsia="zh-CN"/>
        </w:rPr>
        <w:t>十五</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磋商报价一览表</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最终</w:t>
      </w:r>
      <w:r>
        <w:rPr>
          <w:rFonts w:hint="eastAsia" w:ascii="宋体" w:hAnsi="宋体" w:eastAsia="宋体" w:cs="宋体"/>
          <w:b/>
          <w:bCs/>
          <w:color w:val="auto"/>
          <w:sz w:val="24"/>
          <w:szCs w:val="24"/>
        </w:rPr>
        <w:t>报价）</w:t>
      </w:r>
    </w:p>
    <w:p>
      <w:pPr>
        <w:snapToGrid w:val="0"/>
        <w:spacing w:before="50" w:after="50" w:line="360" w:lineRule="auto"/>
        <w:ind w:right="-1058" w:rightChars="-294"/>
        <w:jc w:val="left"/>
        <w:rPr>
          <w:rFonts w:hint="eastAsia" w:ascii="宋体" w:hAnsi="宋体" w:eastAsia="宋体" w:cs="宋体"/>
          <w:color w:val="auto"/>
          <w:sz w:val="24"/>
          <w:szCs w:val="24"/>
        </w:rPr>
      </w:pPr>
    </w:p>
    <w:p>
      <w:pPr>
        <w:snapToGrid w:val="0"/>
        <w:spacing w:before="50" w:after="50" w:line="360" w:lineRule="auto"/>
        <w:ind w:right="-1058" w:rightChars="-294"/>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仙居县城乡冷链物流设施项目—物流网点连接线工程（下各镇）</w:t>
      </w:r>
      <w:r>
        <w:rPr>
          <w:rFonts w:hint="eastAsia" w:ascii="宋体" w:hAnsi="宋体" w:eastAsia="宋体" w:cs="宋体"/>
          <w:color w:val="auto"/>
          <w:sz w:val="24"/>
          <w:szCs w:val="24"/>
          <w:lang w:val="en-US" w:eastAsia="zh-CN"/>
        </w:rPr>
        <w:t xml:space="preserve"> </w:t>
      </w:r>
    </w:p>
    <w:tbl>
      <w:tblPr>
        <w:tblStyle w:val="24"/>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3"/>
        <w:gridCol w:w="982"/>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113" w:type="dxa"/>
            <w:vMerge w:val="restart"/>
            <w:noWrap w:val="0"/>
            <w:vAlign w:val="center"/>
          </w:tcPr>
          <w:p>
            <w:pPr>
              <w:keepNext w:val="0"/>
              <w:keepLines w:val="0"/>
              <w:suppressLineNumbers w:val="0"/>
              <w:snapToGrid w:val="0"/>
              <w:spacing w:before="50" w:beforeAutospacing="0" w:after="50" w:afterAutospacing="0" w:line="360" w:lineRule="auto"/>
              <w:ind w:left="0" w:right="-1058" w:rightChars="-294" w:firstLine="240" w:firstLineChars="100"/>
              <w:jc w:val="left"/>
              <w:rPr>
                <w:rFonts w:hint="default" w:ascii="宋体" w:hAnsi="宋体"/>
                <w:b/>
                <w:bCs/>
                <w:color w:val="auto"/>
                <w:sz w:val="24"/>
              </w:rPr>
            </w:pPr>
            <w:r>
              <w:rPr>
                <w:rFonts w:hint="eastAsia" w:ascii="宋体" w:hAnsi="宋体"/>
                <w:b/>
                <w:bCs/>
                <w:color w:val="auto"/>
                <w:sz w:val="24"/>
              </w:rPr>
              <w:t>磋商</w:t>
            </w:r>
            <w:r>
              <w:rPr>
                <w:rFonts w:hint="eastAsia" w:ascii="宋体" w:hAnsi="宋体"/>
                <w:b/>
                <w:bCs/>
                <w:color w:val="auto"/>
                <w:sz w:val="24"/>
                <w:lang w:eastAsia="zh-CN"/>
              </w:rPr>
              <w:t>总</w:t>
            </w:r>
            <w:r>
              <w:rPr>
                <w:rFonts w:hint="eastAsia" w:ascii="宋体" w:hAnsi="宋体"/>
                <w:b/>
                <w:bCs/>
                <w:color w:val="auto"/>
                <w:sz w:val="24"/>
              </w:rPr>
              <w:t>报价（元）</w:t>
            </w:r>
          </w:p>
        </w:tc>
        <w:tc>
          <w:tcPr>
            <w:tcW w:w="982"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eastAsia="宋体"/>
                <w:b/>
                <w:bCs/>
                <w:color w:val="auto"/>
                <w:sz w:val="21"/>
                <w:szCs w:val="21"/>
                <w:lang w:eastAsia="zh-CN"/>
              </w:rPr>
            </w:pPr>
            <w:r>
              <w:rPr>
                <w:rFonts w:hint="eastAsia" w:ascii="宋体" w:hAnsi="宋体"/>
                <w:b/>
                <w:bCs/>
                <w:color w:val="auto"/>
                <w:sz w:val="21"/>
                <w:szCs w:val="21"/>
                <w:lang w:eastAsia="zh-CN"/>
              </w:rPr>
              <w:t>小写：</w:t>
            </w:r>
          </w:p>
        </w:tc>
        <w:tc>
          <w:tcPr>
            <w:tcW w:w="4750"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b/>
                <w:bCs/>
                <w:color w:val="auto"/>
                <w:sz w:val="24"/>
                <w:lang w:eastAsia="zh-CN"/>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13" w:type="dxa"/>
            <w:vMerge w:val="continue"/>
            <w:noWrap w:val="0"/>
            <w:vAlign w:val="center"/>
          </w:tcPr>
          <w:p>
            <w:pPr>
              <w:keepNext w:val="0"/>
              <w:keepLines w:val="0"/>
              <w:suppressLineNumbers w:val="0"/>
              <w:snapToGrid w:val="0"/>
              <w:spacing w:before="50" w:beforeAutospacing="0" w:after="50" w:afterAutospacing="0" w:line="360" w:lineRule="auto"/>
              <w:ind w:left="0" w:right="-1058" w:rightChars="-294"/>
              <w:jc w:val="center"/>
              <w:rPr>
                <w:rFonts w:hint="default" w:ascii="宋体" w:hAnsi="宋体"/>
                <w:b/>
                <w:bCs/>
                <w:color w:val="auto"/>
                <w:sz w:val="24"/>
              </w:rPr>
            </w:pPr>
          </w:p>
        </w:tc>
        <w:tc>
          <w:tcPr>
            <w:tcW w:w="982"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eastAsia="宋体"/>
                <w:b/>
                <w:bCs/>
                <w:color w:val="auto"/>
                <w:sz w:val="21"/>
                <w:szCs w:val="21"/>
                <w:lang w:eastAsia="zh-CN"/>
              </w:rPr>
            </w:pPr>
            <w:r>
              <w:rPr>
                <w:rFonts w:hint="eastAsia" w:ascii="宋体" w:hAnsi="宋体"/>
                <w:b/>
                <w:bCs/>
                <w:color w:val="auto"/>
                <w:sz w:val="21"/>
                <w:szCs w:val="21"/>
                <w:lang w:eastAsia="zh-CN"/>
              </w:rPr>
              <w:t>大写：</w:t>
            </w:r>
          </w:p>
        </w:tc>
        <w:tc>
          <w:tcPr>
            <w:tcW w:w="4750" w:type="dxa"/>
            <w:noWrap w:val="0"/>
            <w:vAlign w:val="center"/>
          </w:tcPr>
          <w:p>
            <w:pPr>
              <w:keepNext w:val="0"/>
              <w:keepLines w:val="0"/>
              <w:suppressLineNumbers w:val="0"/>
              <w:snapToGrid w:val="0"/>
              <w:spacing w:before="50" w:beforeAutospacing="0" w:after="50" w:afterAutospacing="0" w:line="360" w:lineRule="auto"/>
              <w:ind w:left="0" w:right="-1058" w:rightChars="-294"/>
              <w:jc w:val="left"/>
              <w:rPr>
                <w:rFonts w:hint="eastAsia" w:ascii="宋体" w:hAnsi="宋体"/>
                <w:b/>
                <w:bCs/>
                <w:color w:val="auto"/>
                <w:sz w:val="24"/>
                <w:lang w:eastAsia="zh-CN"/>
              </w:rPr>
            </w:pPr>
            <w:r>
              <w:rPr>
                <w:rFonts w:hint="eastAsia" w:ascii="宋体" w:hAnsi="宋体" w:eastAsia="宋体" w:cs="宋体"/>
                <w:b/>
                <w:bCs/>
                <w:color w:val="auto"/>
                <w:sz w:val="21"/>
                <w:szCs w:val="21"/>
              </w:rPr>
              <w:t>人民币：</w:t>
            </w:r>
            <w:r>
              <w:rPr>
                <w:rFonts w:hint="eastAsia" w:ascii="宋体" w:hAnsi="宋体" w:eastAsia="宋体" w:cs="宋体"/>
                <w:b/>
                <w:bCs/>
                <w:color w:val="auto"/>
                <w:sz w:val="21"/>
                <w:szCs w:val="21"/>
                <w:u w:val="single"/>
              </w:rPr>
              <w:t xml:space="preserve">                            </w:t>
            </w:r>
          </w:p>
        </w:tc>
      </w:tr>
    </w:tbl>
    <w:p>
      <w:pPr>
        <w:snapToGrid w:val="0"/>
        <w:spacing w:before="50" w:after="50" w:line="360" w:lineRule="auto"/>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注: </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报价指完成本项目所需</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包含所有一切人员工资、各种加班费、节假日补贴、各种社会保险、安全保险、食宿与交通、材料费、机械费、人工费、辅助材料费、建筑垃圾清运费、保险费、管理费、规费以及所有税收、利润、总承包服务费、采购代理服务费等</w:t>
      </w:r>
      <w:r>
        <w:rPr>
          <w:rFonts w:hint="eastAsia" w:ascii="宋体" w:hAnsi="宋体" w:eastAsia="宋体" w:cs="宋体"/>
          <w:color w:val="auto"/>
          <w:sz w:val="21"/>
          <w:szCs w:val="21"/>
          <w:highlight w:val="none"/>
        </w:rPr>
        <w:t>、政策性文件规定及合同包含的所有风险责任等一切费用等完成合同所需的一切本身和不可或缺的所有工作开支、政策性文件规定及合同包含的所有风险、责任等各项全部费用并承担一切风险责任</w:t>
      </w:r>
      <w:r>
        <w:rPr>
          <w:rFonts w:hint="eastAsia" w:ascii="宋体" w:hAnsi="宋体" w:eastAsia="宋体" w:cs="宋体"/>
          <w:color w:val="auto"/>
          <w:sz w:val="21"/>
          <w:szCs w:val="21"/>
          <w:highlight w:val="none"/>
          <w:lang w:eastAsia="zh-CN"/>
        </w:rPr>
        <w:t>。</w:t>
      </w:r>
    </w:p>
    <w:p>
      <w:pPr>
        <w:snapToGrid w:val="0"/>
        <w:spacing w:before="50" w:after="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报价一经涂改，应在涂改处加盖单位公章，或者由法定代表人或</w:t>
      </w:r>
      <w:r>
        <w:rPr>
          <w:rFonts w:hint="eastAsia" w:ascii="宋体" w:hAnsi="宋体" w:eastAsia="宋体" w:cs="宋体"/>
          <w:color w:val="auto"/>
          <w:sz w:val="21"/>
          <w:szCs w:val="21"/>
          <w:lang w:eastAsia="zh-CN"/>
        </w:rPr>
        <w:t>全权代表</w:t>
      </w:r>
      <w:r>
        <w:rPr>
          <w:rFonts w:hint="eastAsia" w:ascii="宋体" w:hAnsi="宋体" w:eastAsia="宋体" w:cs="宋体"/>
          <w:color w:val="auto"/>
          <w:sz w:val="21"/>
          <w:szCs w:val="21"/>
        </w:rPr>
        <w:t>签字或盖章，否则其</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无效。</w:t>
      </w:r>
    </w:p>
    <w:p>
      <w:pPr>
        <w:numPr>
          <w:ilvl w:val="0"/>
          <w:numId w:val="0"/>
        </w:numPr>
        <w:snapToGrid w:val="0"/>
        <w:spacing w:before="50" w:after="50"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最终报价不得高于首次报价，否则其磋商响应文件作无效标处理。</w:t>
      </w:r>
    </w:p>
    <w:p>
      <w:pPr>
        <w:pStyle w:val="35"/>
        <w:rPr>
          <w:rFonts w:hint="eastAsia" w:eastAsia="宋体"/>
          <w:sz w:val="21"/>
          <w:szCs w:val="21"/>
          <w:lang w:val="en-US" w:eastAsia="zh-CN"/>
        </w:rPr>
      </w:pPr>
    </w:p>
    <w:p>
      <w:pPr>
        <w:snapToGrid w:val="0"/>
        <w:spacing w:before="50" w:after="50"/>
        <w:ind w:right="-1400" w:rightChars="-389"/>
        <w:rPr>
          <w:rFonts w:hint="eastAsia" w:ascii="宋体" w:hAnsi="宋体" w:eastAsia="宋体" w:cs="宋体"/>
          <w:color w:val="auto"/>
          <w:sz w:val="24"/>
          <w:szCs w:val="24"/>
        </w:rPr>
      </w:pPr>
    </w:p>
    <w:p>
      <w:pPr>
        <w:snapToGrid w:val="0"/>
        <w:spacing w:before="50" w:after="50"/>
        <w:ind w:right="-1400" w:rightChars="-389"/>
        <w:rPr>
          <w:rFonts w:hint="eastAsia" w:ascii="宋体" w:hAnsi="宋体" w:eastAsia="宋体" w:cs="宋体"/>
          <w:color w:val="auto"/>
          <w:sz w:val="24"/>
          <w:szCs w:val="24"/>
        </w:rPr>
      </w:pPr>
    </w:p>
    <w:p>
      <w:pPr>
        <w:snapToGrid w:val="0"/>
        <w:spacing w:before="50" w:after="50"/>
        <w:ind w:left="-111" w:leftChars="-72" w:right="-1400" w:rightChars="-389" w:hanging="148" w:hangingChars="62"/>
        <w:rPr>
          <w:rFonts w:hint="eastAsia" w:ascii="宋体" w:hAnsi="宋体" w:eastAsia="宋体" w:cs="宋体"/>
          <w:color w:val="auto"/>
          <w:sz w:val="24"/>
          <w:szCs w:val="24"/>
        </w:rPr>
      </w:pPr>
    </w:p>
    <w:p>
      <w:pPr>
        <w:snapToGrid w:val="0"/>
        <w:spacing w:before="50" w:after="50"/>
        <w:ind w:left="-111" w:leftChars="-72" w:right="-1400" w:rightChars="-389" w:hanging="148" w:hangingChars="62"/>
        <w:rPr>
          <w:rFonts w:hint="eastAsia" w:ascii="宋体" w:hAnsi="宋体" w:eastAsia="宋体" w:cs="宋体"/>
          <w:color w:val="auto"/>
          <w:sz w:val="24"/>
          <w:szCs w:val="24"/>
        </w:rPr>
      </w:pPr>
    </w:p>
    <w:p>
      <w:pPr>
        <w:snapToGrid w:val="0"/>
        <w:spacing w:before="50" w:after="50"/>
        <w:ind w:right="-1400" w:rightChars="-389"/>
        <w:rPr>
          <w:rFonts w:hint="eastAsia" w:ascii="宋体" w:hAnsi="宋体" w:eastAsia="宋体" w:cs="宋体"/>
          <w:color w:val="auto"/>
          <w:sz w:val="24"/>
          <w:szCs w:val="24"/>
        </w:rPr>
      </w:pPr>
    </w:p>
    <w:p>
      <w:pPr>
        <w:pStyle w:val="10"/>
        <w:spacing w:line="560" w:lineRule="exact"/>
        <w:ind w:firstLine="5760" w:firstLineChars="2400"/>
        <w:rPr>
          <w:rFonts w:hint="eastAsia" w:ascii="宋体" w:hAnsi="宋体" w:eastAsia="宋体" w:cs="宋体"/>
          <w:color w:val="auto"/>
          <w:sz w:val="24"/>
          <w:szCs w:val="24"/>
          <w:lang w:val="zh-CN"/>
        </w:rPr>
      </w:pPr>
      <w:r>
        <w:rPr>
          <w:rFonts w:hint="eastAsia" w:ascii="宋体" w:hAnsi="宋体" w:eastAsia="宋体" w:cs="宋体"/>
          <w:color w:val="auto"/>
          <w:sz w:val="24"/>
          <w:szCs w:val="24"/>
        </w:rPr>
        <w:t>磋商人名称</w:t>
      </w:r>
      <w:r>
        <w:rPr>
          <w:rFonts w:hint="eastAsia" w:ascii="宋体" w:hAnsi="宋体" w:eastAsia="宋体" w:cs="宋体"/>
          <w:color w:val="auto"/>
          <w:sz w:val="24"/>
          <w:szCs w:val="24"/>
          <w:lang w:val="zh-CN"/>
        </w:rPr>
        <w:t>（盖单位章）：</w:t>
      </w:r>
    </w:p>
    <w:p>
      <w:pPr>
        <w:snapToGrid w:val="0"/>
        <w:spacing w:before="50" w:after="50"/>
        <w:jc w:val="right"/>
        <w:rPr>
          <w:rFonts w:ascii="宋体" w:hAnsi="宋体"/>
          <w:color w:val="auto"/>
          <w:sz w:val="24"/>
        </w:rPr>
      </w:pPr>
    </w:p>
    <w:p>
      <w:pPr>
        <w:snapToGrid w:val="0"/>
        <w:spacing w:before="50" w:after="50"/>
        <w:jc w:val="center"/>
        <w:rPr>
          <w:rFonts w:ascii="宋体" w:hAnsi="宋体"/>
          <w:color w:val="auto"/>
          <w:sz w:val="24"/>
        </w:rPr>
      </w:pPr>
      <w:r>
        <w:rPr>
          <w:rFonts w:hint="eastAsia" w:ascii="宋体" w:hAnsi="宋体" w:eastAsia="宋体"/>
          <w:color w:val="auto"/>
          <w:sz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olor w:val="auto"/>
          <w:sz w:val="24"/>
          <w:lang w:val="en-US" w:eastAsia="zh-CN"/>
        </w:rPr>
        <w:t xml:space="preserve">      </w:t>
      </w:r>
      <w:r>
        <w:rPr>
          <w:rFonts w:ascii="宋体" w:hAnsi="宋体"/>
          <w:color w:val="auto"/>
          <w:sz w:val="24"/>
        </w:rPr>
        <w:t>年    月    日</w:t>
      </w:r>
    </w:p>
    <w:p>
      <w:pPr>
        <w:spacing w:line="450" w:lineRule="atLeast"/>
        <w:jc w:val="both"/>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spacing w:line="450" w:lineRule="atLeast"/>
        <w:jc w:val="both"/>
        <w:rPr>
          <w:rFonts w:hint="eastAsia" w:ascii="宋体" w:hAnsi="宋体" w:eastAsia="宋体" w:cs="宋体"/>
          <w:b/>
          <w:color w:val="auto"/>
          <w:sz w:val="24"/>
          <w:szCs w:val="24"/>
          <w:lang w:val="en-US" w:eastAsia="zh-CN"/>
        </w:rPr>
      </w:pPr>
    </w:p>
    <w:p>
      <w:pPr>
        <w:spacing w:line="450" w:lineRule="atLeast"/>
        <w:jc w:val="both"/>
        <w:rPr>
          <w:rFonts w:hint="eastAsia" w:ascii="宋体" w:hAnsi="宋体" w:eastAsia="宋体" w:cs="宋体"/>
          <w:b/>
          <w:color w:val="auto"/>
          <w:sz w:val="24"/>
          <w:szCs w:val="24"/>
          <w:lang w:val="en-US" w:eastAsia="zh-CN"/>
        </w:rPr>
      </w:pPr>
    </w:p>
    <w:p>
      <w:pPr>
        <w:spacing w:line="450" w:lineRule="atLeast"/>
        <w:jc w:val="both"/>
        <w:rPr>
          <w:rFonts w:hint="eastAsia" w:ascii="宋体" w:hAnsi="宋体" w:eastAsia="宋体" w:cs="宋体"/>
          <w:b/>
          <w:color w:val="auto"/>
          <w:sz w:val="24"/>
          <w:szCs w:val="24"/>
          <w:lang w:val="en-US" w:eastAsia="zh-CN"/>
        </w:rPr>
      </w:pPr>
    </w:p>
    <w:p>
      <w:pPr>
        <w:pStyle w:val="22"/>
        <w:rPr>
          <w:rFonts w:hint="eastAsia" w:ascii="宋体" w:hAnsi="宋体" w:eastAsia="宋体" w:cs="宋体"/>
          <w:b/>
          <w:color w:val="auto"/>
          <w:sz w:val="24"/>
          <w:szCs w:val="24"/>
          <w:lang w:val="en-US" w:eastAsia="zh-CN"/>
        </w:rPr>
      </w:pPr>
    </w:p>
    <w:p>
      <w:pPr>
        <w:rPr>
          <w:rFonts w:hint="eastAsia" w:ascii="宋体" w:hAnsi="宋体" w:eastAsia="宋体" w:cs="宋体"/>
          <w:b/>
          <w:color w:val="auto"/>
          <w:sz w:val="24"/>
          <w:szCs w:val="24"/>
          <w:lang w:val="en-US" w:eastAsia="zh-CN"/>
        </w:rPr>
      </w:pPr>
    </w:p>
    <w:p>
      <w:pPr>
        <w:pStyle w:val="22"/>
        <w:rPr>
          <w:rFonts w:hint="eastAsia" w:ascii="宋体" w:hAnsi="宋体" w:eastAsia="宋体" w:cs="宋体"/>
          <w:b/>
          <w:color w:val="auto"/>
          <w:sz w:val="24"/>
          <w:szCs w:val="24"/>
          <w:lang w:val="en-US" w:eastAsia="zh-CN"/>
        </w:rPr>
      </w:pPr>
    </w:p>
    <w:p>
      <w:pPr>
        <w:rPr>
          <w:rFonts w:hint="eastAsia"/>
          <w:lang w:val="en-US" w:eastAsia="zh-CN"/>
        </w:rPr>
      </w:pPr>
    </w:p>
    <w:p>
      <w:pPr>
        <w:pStyle w:val="20"/>
        <w:widowControl w:val="0"/>
        <w:spacing w:before="0" w:beforeAutospacing="0" w:after="0" w:afterAutospacing="0" w:line="360" w:lineRule="auto"/>
        <w:jc w:val="both"/>
        <w:outlineLvl w:val="1"/>
        <w:rPr>
          <w:b/>
          <w:color w:val="000000"/>
          <w:kern w:val="2"/>
          <w:szCs w:val="20"/>
          <w:lang w:bidi="ar"/>
        </w:rPr>
      </w:pPr>
    </w:p>
    <w:p>
      <w:pPr>
        <w:pStyle w:val="20"/>
        <w:widowControl w:val="0"/>
        <w:spacing w:before="0" w:beforeAutospacing="0" w:after="0" w:afterAutospacing="0" w:line="360" w:lineRule="auto"/>
        <w:jc w:val="both"/>
        <w:outlineLvl w:val="1"/>
        <w:rPr>
          <w:rFonts w:hint="default" w:ascii="宋体" w:hAnsi="宋体" w:eastAsia="宋体" w:cs="宋体"/>
          <w:i/>
          <w:iCs/>
          <w:color w:val="FF0000"/>
          <w:sz w:val="21"/>
          <w:szCs w:val="21"/>
          <w:lang w:val="en-US" w:eastAsia="zh-CN"/>
        </w:rPr>
      </w:pPr>
      <w:r>
        <w:rPr>
          <w:b/>
          <w:color w:val="000000"/>
          <w:kern w:val="2"/>
          <w:szCs w:val="20"/>
          <w:lang w:bidi="ar"/>
        </w:rPr>
        <w:t>附件</w:t>
      </w:r>
      <w:r>
        <w:rPr>
          <w:rFonts w:hint="eastAsia"/>
          <w:b/>
          <w:color w:val="000000"/>
          <w:kern w:val="2"/>
          <w:szCs w:val="20"/>
          <w:lang w:eastAsia="zh-CN" w:bidi="ar"/>
        </w:rPr>
        <w:t>十</w:t>
      </w:r>
      <w:r>
        <w:rPr>
          <w:rFonts w:hint="eastAsia"/>
          <w:b/>
          <w:color w:val="000000"/>
          <w:kern w:val="2"/>
          <w:szCs w:val="20"/>
          <w:lang w:val="en-US" w:eastAsia="zh-CN" w:bidi="ar"/>
        </w:rPr>
        <w:t>六</w:t>
      </w:r>
      <w:r>
        <w:rPr>
          <w:b/>
          <w:color w:val="000000"/>
          <w:kern w:val="2"/>
          <w:szCs w:val="20"/>
          <w:lang w:bidi="ar"/>
        </w:rPr>
        <w:t>：</w:t>
      </w:r>
      <w:bookmarkEnd w:id="2739"/>
      <w:bookmarkEnd w:id="2740"/>
      <w:r>
        <w:rPr>
          <w:rFonts w:hint="eastAsia" w:eastAsia="宋体"/>
          <w:b/>
          <w:color w:val="000000"/>
          <w:kern w:val="2"/>
          <w:szCs w:val="20"/>
          <w:lang w:val="en-US" w:eastAsia="zh-CN" w:bidi="ar"/>
        </w:rPr>
        <w:t xml:space="preserve">           </w:t>
      </w:r>
      <w:r>
        <w:rPr>
          <w:rFonts w:hint="eastAsia" w:ascii="宋体" w:hAnsi="宋体" w:eastAsia="宋体" w:cs="宋体"/>
          <w:b/>
          <w:bCs/>
          <w:color w:val="auto"/>
          <w:sz w:val="21"/>
          <w:szCs w:val="21"/>
        </w:rPr>
        <w:t>政府采购活动现</w:t>
      </w:r>
      <w:r>
        <w:rPr>
          <w:rFonts w:hint="eastAsia" w:ascii="宋体" w:hAnsi="宋体" w:eastAsia="宋体" w:cs="宋体"/>
          <w:b/>
          <w:color w:val="auto"/>
          <w:sz w:val="21"/>
          <w:szCs w:val="21"/>
        </w:rPr>
        <w:t>场确认声明书</w:t>
      </w:r>
      <w:r>
        <w:rPr>
          <w:rFonts w:hint="eastAsia" w:ascii="宋体" w:hAnsi="宋体" w:eastAsia="宋体" w:cs="宋体"/>
          <w:b/>
          <w:color w:val="auto"/>
          <w:sz w:val="21"/>
          <w:szCs w:val="21"/>
          <w:lang w:eastAsia="zh-CN"/>
        </w:rPr>
        <w:t>（</w:t>
      </w:r>
      <w:r>
        <w:rPr>
          <w:rFonts w:hint="eastAsia" w:hAnsi="宋体" w:cs="宋体"/>
          <w:b/>
          <w:color w:val="auto"/>
          <w:sz w:val="21"/>
          <w:szCs w:val="21"/>
          <w:lang w:eastAsia="zh-CN"/>
        </w:rPr>
        <w:t>被</w:t>
      </w:r>
      <w:r>
        <w:rPr>
          <w:rFonts w:hint="eastAsia" w:ascii="宋体" w:hAnsi="宋体" w:eastAsia="宋体" w:cs="宋体"/>
          <w:b/>
          <w:color w:val="auto"/>
          <w:sz w:val="21"/>
          <w:szCs w:val="21"/>
          <w:lang w:eastAsia="zh-CN"/>
        </w:rPr>
        <w:t>授权人）</w:t>
      </w:r>
      <w:r>
        <w:rPr>
          <w:rFonts w:hint="eastAsia" w:eastAsia="宋体" w:cs="宋体"/>
          <w:b/>
          <w:color w:val="auto"/>
          <w:sz w:val="21"/>
          <w:szCs w:val="21"/>
          <w:lang w:val="en-US" w:eastAsia="zh-CN"/>
        </w:rPr>
        <w:t xml:space="preserve"> </w:t>
      </w:r>
      <w:r>
        <w:rPr>
          <w:rFonts w:hint="eastAsia" w:eastAsia="宋体" w:cs="宋体"/>
          <w:b/>
          <w:i/>
          <w:iCs/>
          <w:color w:val="FF0000"/>
          <w:sz w:val="21"/>
          <w:szCs w:val="21"/>
          <w:lang w:val="en-US" w:eastAsia="zh-CN"/>
        </w:rPr>
        <w:t>二选一</w:t>
      </w:r>
    </w:p>
    <w:p>
      <w:pPr>
        <w:pStyle w:val="44"/>
        <w:widowControl w:val="0"/>
        <w:snapToGrid w:val="0"/>
        <w:spacing w:line="500" w:lineRule="exact"/>
        <w:jc w:val="both"/>
        <w:rPr>
          <w:rFonts w:hint="eastAsia" w:ascii="宋体" w:hAnsi="宋体" w:eastAsia="宋体" w:cs="宋体"/>
          <w:b/>
          <w:color w:val="auto"/>
          <w:sz w:val="21"/>
          <w:szCs w:val="21"/>
        </w:rPr>
      </w:pPr>
      <w:r>
        <w:rPr>
          <w:rFonts w:hint="eastAsia" w:ascii="宋体" w:hAnsi="宋体" w:eastAsia="宋体" w:cs="宋体"/>
          <w:color w:val="auto"/>
          <w:kern w:val="0"/>
          <w:sz w:val="21"/>
          <w:szCs w:val="21"/>
          <w:u w:val="single"/>
        </w:rPr>
        <w:t xml:space="preserve"> 浙江省成套招标代理有限公司  </w:t>
      </w:r>
      <w:r>
        <w:rPr>
          <w:rFonts w:hint="eastAsia" w:ascii="宋体" w:hAnsi="宋体" w:eastAsia="宋体" w:cs="宋体"/>
          <w:color w:val="auto"/>
          <w:kern w:val="0"/>
          <w:sz w:val="21"/>
          <w:szCs w:val="21"/>
        </w:rPr>
        <w:t>（采购组织机构名称）：</w:t>
      </w:r>
    </w:p>
    <w:p>
      <w:pPr>
        <w:pStyle w:val="44"/>
        <w:widowControl w:val="0"/>
        <w:snapToGrid w:val="0"/>
        <w:spacing w:line="500" w:lineRule="exact"/>
        <w:ind w:firstLine="444" w:firstLineChars="200"/>
        <w:jc w:val="both"/>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本人经由</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spacing w:val="6"/>
          <w:sz w:val="21"/>
          <w:szCs w:val="21"/>
          <w:u w:val="single"/>
        </w:rPr>
        <w:t>（单位）</w:t>
      </w:r>
      <w:r>
        <w:rPr>
          <w:rFonts w:hint="eastAsia" w:ascii="宋体" w:hAnsi="宋体" w:eastAsia="宋体" w:cs="宋体"/>
          <w:color w:val="auto"/>
          <w:spacing w:val="6"/>
          <w:sz w:val="21"/>
          <w:szCs w:val="21"/>
        </w:rPr>
        <w:t>负责人</w:t>
      </w:r>
      <w:r>
        <w:rPr>
          <w:rFonts w:hint="eastAsia" w:ascii="宋体" w:hAnsi="宋体" w:eastAsia="宋体" w:cs="宋体"/>
          <w:color w:val="auto"/>
          <w:spacing w:val="6"/>
          <w:sz w:val="21"/>
          <w:szCs w:val="21"/>
          <w:u w:val="single"/>
        </w:rPr>
        <w:t xml:space="preserve">       （姓名）</w:t>
      </w:r>
      <w:r>
        <w:rPr>
          <w:rFonts w:hint="eastAsia" w:ascii="宋体" w:hAnsi="宋体" w:eastAsia="宋体" w:cs="宋体"/>
          <w:color w:val="auto"/>
          <w:spacing w:val="6"/>
          <w:sz w:val="21"/>
          <w:szCs w:val="21"/>
        </w:rPr>
        <w:t>合法授权参加</w:t>
      </w:r>
      <w:r>
        <w:rPr>
          <w:rFonts w:hint="eastAsia" w:hAnsi="宋体" w:cs="宋体"/>
          <w:color w:val="auto"/>
          <w:spacing w:val="6"/>
          <w:sz w:val="21"/>
          <w:szCs w:val="21"/>
          <w:u w:val="single"/>
          <w:lang w:eastAsia="zh-CN"/>
        </w:rPr>
        <w:t>仙居县城乡冷链物流设施项目—物流网点连接线工程（下各镇）</w:t>
      </w:r>
      <w:r>
        <w:rPr>
          <w:rFonts w:hint="eastAsia" w:ascii="宋体" w:hAnsi="宋体" w:eastAsia="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（编号：</w:t>
      </w:r>
      <w:r>
        <w:rPr>
          <w:rFonts w:hint="eastAsia" w:hAnsi="宋体" w:cs="宋体"/>
          <w:color w:val="auto"/>
          <w:spacing w:val="6"/>
          <w:sz w:val="21"/>
          <w:szCs w:val="21"/>
          <w:highlight w:val="none"/>
          <w:u w:val="single"/>
          <w:lang w:eastAsia="zh-CN"/>
        </w:rPr>
        <w:t>CTZB-2024040057</w:t>
      </w:r>
      <w:r>
        <w:rPr>
          <w:rFonts w:hint="eastAsia" w:hAnsi="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 xml:space="preserve">）政府采购活动，经与本单位法人代表（负责人）联系确认，现就有关公平竞争事项郑重声明如下： </w:t>
      </w:r>
    </w:p>
    <w:p>
      <w:pPr>
        <w:pStyle w:val="45"/>
        <w:widowControl/>
        <w:numPr>
          <w:ilvl w:val="0"/>
          <w:numId w:val="11"/>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本单位与采购人之间 </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不存在利害关系 □存在下列利害关系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A.投资关系    B.行政隶属关系    C.业务指导关系</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D.其他可能</w:t>
      </w:r>
      <w:r>
        <w:rPr>
          <w:rFonts w:hint="eastAsia" w:ascii="宋体" w:hAnsi="宋体" w:eastAsia="宋体" w:cs="宋体"/>
          <w:color w:val="auto"/>
          <w:sz w:val="21"/>
          <w:szCs w:val="21"/>
        </w:rPr>
        <w:t>影响采购公正的</w:t>
      </w:r>
      <w:r>
        <w:rPr>
          <w:rFonts w:hint="eastAsia" w:ascii="宋体" w:hAnsi="宋体" w:eastAsia="宋体" w:cs="宋体"/>
          <w:color w:val="auto"/>
          <w:kern w:val="0"/>
          <w:sz w:val="21"/>
          <w:szCs w:val="21"/>
        </w:rPr>
        <w:t>利害关系</w:t>
      </w:r>
      <w:r>
        <w:rPr>
          <w:rFonts w:hint="eastAsia" w:ascii="宋体" w:hAnsi="宋体" w:eastAsia="宋体" w:cs="宋体"/>
          <w:color w:val="auto"/>
          <w:kern w:val="0"/>
          <w:sz w:val="21"/>
          <w:szCs w:val="21"/>
          <w:u w:val="single"/>
        </w:rPr>
        <w:t xml:space="preserve">（如有，请如实说明）                 </w:t>
      </w:r>
      <w:r>
        <w:rPr>
          <w:rFonts w:hint="eastAsia" w:ascii="宋体" w:hAnsi="宋体" w:eastAsia="宋体" w:cs="宋体"/>
          <w:color w:val="auto"/>
          <w:kern w:val="0"/>
          <w:sz w:val="21"/>
          <w:szCs w:val="21"/>
        </w:rPr>
        <w:t>。</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spacing w:val="6"/>
          <w:sz w:val="21"/>
          <w:szCs w:val="21"/>
        </w:rPr>
        <w:t xml:space="preserve">  二、</w:t>
      </w:r>
      <w:r>
        <w:rPr>
          <w:rFonts w:hint="eastAsia" w:ascii="宋体" w:hAnsi="宋体" w:eastAsia="宋体" w:cs="宋体"/>
          <w:color w:val="auto"/>
          <w:kern w:val="0"/>
          <w:sz w:val="21"/>
          <w:szCs w:val="21"/>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u w:val="single"/>
        </w:rPr>
        <w:t xml:space="preserve">           （供应商名称）</w:t>
      </w:r>
      <w:r>
        <w:rPr>
          <w:rFonts w:hint="eastAsia" w:ascii="宋体" w:hAnsi="宋体" w:eastAsia="宋体" w:cs="宋体"/>
          <w:color w:val="auto"/>
          <w:kern w:val="0"/>
          <w:sz w:val="21"/>
          <w:szCs w:val="21"/>
        </w:rPr>
        <w:t>之间存在下列利害关系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A.法定代表人或负责人或实际控制人是同一人</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B.法定代表人或负责人或实际控制人是夫妻关系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C.法定代表人或负责人或实际控制人是直系血亲关系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D.法定代表人或负责人或实际控制人存在三代以内旁系血亲关系</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E.法定代表人或负责人或实际控制人存在近姻亲关系</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F.法定代表人或负责人或实际控制人存在股份控制或实际控制关系</w:t>
      </w:r>
    </w:p>
    <w:p>
      <w:pPr>
        <w:pStyle w:val="44"/>
        <w:widowControl w:val="0"/>
        <w:snapToGrid w:val="0"/>
        <w:spacing w:line="500" w:lineRule="exact"/>
        <w:jc w:val="both"/>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G.存在共同直接或间接投资设立子公司、联营企业和合营企业情况</w:t>
      </w:r>
    </w:p>
    <w:p>
      <w:pPr>
        <w:pStyle w:val="44"/>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H.存在分级代理或代销关系、同一生产制造商关系、</w:t>
      </w:r>
      <w:r>
        <w:rPr>
          <w:rFonts w:hint="eastAsia" w:ascii="宋体" w:hAnsi="宋体" w:eastAsia="宋体" w:cs="宋体"/>
          <w:color w:val="auto"/>
          <w:sz w:val="21"/>
          <w:szCs w:val="21"/>
        </w:rPr>
        <w:t>管理关系、重要业务（占主营业务收入50%以上）或重要财务往来关系（如融资）等其他实质性控制关系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sz w:val="21"/>
          <w:szCs w:val="21"/>
        </w:rPr>
        <w:t xml:space="preserve">  I</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其他利害关系情况</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w:t>
      </w:r>
    </w:p>
    <w:p>
      <w:pPr>
        <w:pStyle w:val="45"/>
        <w:widowControl/>
        <w:numPr>
          <w:ilvl w:val="0"/>
          <w:numId w:val="12"/>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sz w:val="21"/>
          <w:szCs w:val="21"/>
        </w:rPr>
        <w:t>现已清楚知道并</w:t>
      </w:r>
      <w:r>
        <w:rPr>
          <w:rFonts w:hint="eastAsia" w:ascii="宋体" w:hAnsi="宋体" w:eastAsia="宋体" w:cs="宋体"/>
          <w:color w:val="auto"/>
          <w:kern w:val="0"/>
          <w:sz w:val="21"/>
          <w:szCs w:val="21"/>
        </w:rPr>
        <w:t>严格遵守政府采购法律法规和现场纪律。</w:t>
      </w:r>
    </w:p>
    <w:p>
      <w:pPr>
        <w:pStyle w:val="45"/>
        <w:widowControl/>
        <w:numPr>
          <w:ilvl w:val="0"/>
          <w:numId w:val="12"/>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我发现                    </w:t>
      </w:r>
      <w:r>
        <w:rPr>
          <w:rFonts w:hint="eastAsia" w:ascii="宋体" w:hAnsi="宋体" w:eastAsia="宋体" w:cs="宋体"/>
          <w:color w:val="auto"/>
          <w:kern w:val="0"/>
          <w:sz w:val="21"/>
          <w:szCs w:val="21"/>
        </w:rPr>
        <w:t>供应商之间存在或可能存在上述第二条第</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项利害关系。</w:t>
      </w:r>
    </w:p>
    <w:p>
      <w:pPr>
        <w:pStyle w:val="44"/>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供应商代表签名：</w:t>
      </w:r>
    </w:p>
    <w:p>
      <w:pPr>
        <w:spacing w:after="240" w:afterLines="100" w:line="6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2024年   </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w:t>
      </w:r>
    </w:p>
    <w:p>
      <w:pPr>
        <w:pStyle w:val="7"/>
        <w:rPr>
          <w:rFonts w:hint="eastAsia" w:ascii="宋体" w:hAnsi="宋体" w:eastAsia="宋体" w:cs="宋体"/>
          <w:b w:val="0"/>
          <w:bCs/>
          <w:color w:val="0000FF"/>
        </w:rPr>
      </w:pPr>
      <w:r>
        <w:rPr>
          <w:rFonts w:hint="eastAsia" w:ascii="宋体" w:hAnsi="宋体" w:eastAsia="宋体" w:cs="宋体"/>
          <w:b w:val="0"/>
          <w:bCs/>
          <w:color w:val="0000FF"/>
        </w:rPr>
        <w:t>注：1、本表非</w:t>
      </w:r>
      <w:r>
        <w:rPr>
          <w:rFonts w:hint="eastAsia" w:ascii="宋体" w:hAnsi="宋体" w:eastAsia="宋体" w:cs="宋体"/>
          <w:b w:val="0"/>
          <w:bCs/>
          <w:color w:val="0000FF"/>
          <w:lang w:val="en-US" w:eastAsia="zh-CN"/>
        </w:rPr>
        <w:t>响应</w:t>
      </w:r>
      <w:r>
        <w:rPr>
          <w:rFonts w:hint="eastAsia" w:ascii="宋体" w:hAnsi="宋体" w:eastAsia="宋体" w:cs="宋体"/>
          <w:b w:val="0"/>
          <w:bCs/>
          <w:color w:val="0000FF"/>
        </w:rPr>
        <w:t>文件的组成内容，</w:t>
      </w:r>
      <w:r>
        <w:rPr>
          <w:rFonts w:hint="eastAsia" w:ascii="宋体" w:hAnsi="宋体" w:eastAsia="宋体" w:cs="宋体"/>
          <w:b w:val="0"/>
          <w:bCs/>
          <w:color w:val="0000FF"/>
          <w:lang w:val="en-US" w:eastAsia="zh-CN"/>
        </w:rPr>
        <w:t>无</w:t>
      </w:r>
      <w:r>
        <w:rPr>
          <w:rFonts w:hint="eastAsia" w:ascii="宋体" w:hAnsi="宋体" w:eastAsia="宋体" w:cs="宋体"/>
          <w:b w:val="0"/>
          <w:bCs/>
          <w:color w:val="0000FF"/>
        </w:rPr>
        <w:t>须在</w:t>
      </w:r>
      <w:r>
        <w:rPr>
          <w:rFonts w:hint="eastAsia" w:ascii="宋体" w:hAnsi="宋体" w:eastAsia="宋体" w:cs="宋体"/>
          <w:b w:val="0"/>
          <w:bCs/>
          <w:color w:val="0000FF"/>
          <w:lang w:val="en-US" w:eastAsia="zh-CN"/>
        </w:rPr>
        <w:t>响应</w:t>
      </w:r>
      <w:r>
        <w:rPr>
          <w:rFonts w:hint="eastAsia" w:ascii="宋体" w:hAnsi="宋体" w:eastAsia="宋体" w:cs="宋体"/>
          <w:b w:val="0"/>
          <w:bCs/>
          <w:color w:val="0000FF"/>
        </w:rPr>
        <w:t>文件中提供。</w:t>
      </w:r>
    </w:p>
    <w:p>
      <w:pPr>
        <w:pStyle w:val="7"/>
        <w:rPr>
          <w:rFonts w:hint="eastAsia" w:ascii="宋体" w:hAnsi="宋体" w:eastAsia="宋体" w:cs="宋体"/>
          <w:b/>
          <w:bCs/>
          <w:color w:val="auto"/>
          <w:sz w:val="21"/>
          <w:szCs w:val="21"/>
        </w:rPr>
      </w:pPr>
      <w:r>
        <w:rPr>
          <w:rFonts w:hint="eastAsia" w:ascii="宋体" w:hAnsi="宋体" w:eastAsia="宋体" w:cs="宋体"/>
          <w:b w:val="0"/>
          <w:bCs/>
          <w:color w:val="0000FF"/>
          <w:lang w:val="en-US" w:eastAsia="zh-CN"/>
        </w:rPr>
        <w:t xml:space="preserve">    </w:t>
      </w:r>
      <w:r>
        <w:rPr>
          <w:rFonts w:hint="eastAsia" w:ascii="宋体" w:hAnsi="宋体" w:eastAsia="宋体" w:cs="宋体"/>
          <w:b w:val="0"/>
          <w:bCs/>
          <w:color w:val="0000FF"/>
        </w:rPr>
        <w:t>2、</w:t>
      </w:r>
      <w:r>
        <w:rPr>
          <w:rFonts w:hint="eastAsia" w:ascii="宋体" w:hAnsi="宋体" w:eastAsia="宋体" w:cs="宋体"/>
          <w:b w:val="0"/>
          <w:bCs/>
          <w:color w:val="0000FF"/>
          <w:lang w:val="en-US" w:eastAsia="zh-CN"/>
        </w:rPr>
        <w:t>各供应商可提前打印本表，开标当日</w:t>
      </w:r>
      <w:r>
        <w:rPr>
          <w:rFonts w:hint="eastAsia" w:ascii="宋体" w:hAnsi="宋体" w:eastAsia="宋体" w:cs="宋体"/>
          <w:b w:val="0"/>
          <w:bCs/>
          <w:color w:val="0000FF"/>
        </w:rPr>
        <w:t>，</w:t>
      </w:r>
      <w:r>
        <w:rPr>
          <w:rFonts w:hint="eastAsia" w:ascii="宋体" w:hAnsi="宋体" w:eastAsia="宋体" w:cs="宋体"/>
          <w:b w:val="0"/>
          <w:bCs/>
          <w:color w:val="0000FF"/>
          <w:lang w:val="zh-CN"/>
        </w:rPr>
        <w:t>签署完毕后</w:t>
      </w:r>
      <w:r>
        <w:rPr>
          <w:rFonts w:hint="eastAsia" w:ascii="宋体" w:hAnsi="宋体" w:eastAsia="宋体" w:cs="宋体"/>
          <w:b w:val="0"/>
          <w:bCs/>
          <w:color w:val="0000FF"/>
          <w:lang w:val="en-US" w:eastAsia="zh-CN"/>
        </w:rPr>
        <w:t>发送</w:t>
      </w:r>
      <w:r>
        <w:rPr>
          <w:rFonts w:hint="eastAsia" w:ascii="宋体" w:hAnsi="宋体" w:eastAsia="宋体" w:cs="宋体"/>
          <w:b w:val="0"/>
          <w:bCs/>
          <w:color w:val="0000FF"/>
          <w:lang w:val="zh-CN"/>
        </w:rPr>
        <w:t>至</w:t>
      </w:r>
      <w:r>
        <w:rPr>
          <w:rFonts w:hint="eastAsia" w:ascii="宋体" w:hAnsi="宋体" w:eastAsia="宋体" w:cs="宋体"/>
          <w:b w:val="0"/>
          <w:bCs/>
          <w:color w:val="0000FF"/>
          <w:lang w:val="en-US" w:eastAsia="zh-CN"/>
        </w:rPr>
        <w:t>邮箱846270514@qq.com</w:t>
      </w:r>
      <w:r>
        <w:rPr>
          <w:rFonts w:hint="eastAsia" w:ascii="宋体" w:hAnsi="宋体" w:eastAsia="宋体" w:cs="宋体"/>
          <w:b w:val="0"/>
          <w:bCs/>
          <w:color w:val="0000FF"/>
        </w:rPr>
        <w:t>。</w:t>
      </w:r>
    </w:p>
    <w:p>
      <w:pPr>
        <w:pStyle w:val="44"/>
        <w:widowControl w:val="0"/>
        <w:snapToGrid w:val="0"/>
        <w:spacing w:line="500" w:lineRule="exact"/>
        <w:jc w:val="center"/>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政府采购活动现</w:t>
      </w:r>
      <w:r>
        <w:rPr>
          <w:rFonts w:hint="eastAsia" w:ascii="宋体" w:hAnsi="宋体" w:eastAsia="宋体" w:cs="宋体"/>
          <w:b/>
          <w:color w:val="auto"/>
          <w:sz w:val="21"/>
          <w:szCs w:val="21"/>
        </w:rPr>
        <w:t>场确认声明书</w:t>
      </w:r>
      <w:r>
        <w:rPr>
          <w:rFonts w:hint="eastAsia" w:ascii="宋体" w:hAnsi="宋体" w:eastAsia="宋体" w:cs="宋体"/>
          <w:b/>
          <w:color w:val="auto"/>
          <w:sz w:val="21"/>
          <w:szCs w:val="21"/>
          <w:lang w:eastAsia="zh-CN"/>
        </w:rPr>
        <w:t>（法人）</w:t>
      </w:r>
    </w:p>
    <w:p>
      <w:pPr>
        <w:pStyle w:val="44"/>
        <w:widowControl w:val="0"/>
        <w:snapToGrid w:val="0"/>
        <w:spacing w:line="500" w:lineRule="exact"/>
        <w:jc w:val="both"/>
        <w:rPr>
          <w:rFonts w:hint="eastAsia" w:ascii="宋体" w:hAnsi="宋体" w:eastAsia="宋体" w:cs="宋体"/>
          <w:b/>
          <w:color w:val="auto"/>
          <w:sz w:val="21"/>
          <w:szCs w:val="21"/>
        </w:rPr>
      </w:pPr>
      <w:r>
        <w:rPr>
          <w:rFonts w:hint="eastAsia" w:ascii="宋体" w:hAnsi="宋体" w:eastAsia="宋体" w:cs="宋体"/>
          <w:color w:val="auto"/>
          <w:kern w:val="0"/>
          <w:sz w:val="21"/>
          <w:szCs w:val="21"/>
          <w:u w:val="single"/>
        </w:rPr>
        <w:t xml:space="preserve"> 浙江省成套招标代理有限公司  </w:t>
      </w:r>
      <w:r>
        <w:rPr>
          <w:rFonts w:hint="eastAsia" w:ascii="宋体" w:hAnsi="宋体" w:eastAsia="宋体" w:cs="宋体"/>
          <w:color w:val="auto"/>
          <w:kern w:val="0"/>
          <w:sz w:val="21"/>
          <w:szCs w:val="21"/>
        </w:rPr>
        <w:t>（采购组织机构名称）：</w:t>
      </w:r>
    </w:p>
    <w:p>
      <w:pPr>
        <w:pStyle w:val="44"/>
        <w:widowControl w:val="0"/>
        <w:snapToGrid w:val="0"/>
        <w:spacing w:line="500" w:lineRule="exact"/>
        <w:ind w:firstLine="444" w:firstLineChars="200"/>
        <w:jc w:val="both"/>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本人为</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spacing w:val="6"/>
          <w:sz w:val="21"/>
          <w:szCs w:val="21"/>
          <w:u w:val="single"/>
        </w:rPr>
        <w:t>（单位）</w:t>
      </w:r>
      <w:r>
        <w:rPr>
          <w:rFonts w:hint="eastAsia" w:ascii="宋体" w:hAnsi="宋体" w:eastAsia="宋体" w:cs="宋体"/>
          <w:color w:val="auto"/>
          <w:spacing w:val="6"/>
          <w:sz w:val="21"/>
          <w:szCs w:val="21"/>
        </w:rPr>
        <w:t>负责人参加</w:t>
      </w:r>
      <w:r>
        <w:rPr>
          <w:rFonts w:hint="eastAsia" w:hAnsi="宋体" w:cs="宋体"/>
          <w:color w:val="auto"/>
          <w:spacing w:val="6"/>
          <w:sz w:val="21"/>
          <w:szCs w:val="21"/>
          <w:u w:val="single"/>
          <w:lang w:eastAsia="zh-CN"/>
        </w:rPr>
        <w:t>仙居县城乡冷链物流设施项目—物流网点连接线工程（下各镇）</w:t>
      </w:r>
      <w:r>
        <w:rPr>
          <w:rFonts w:hint="eastAsia" w:ascii="宋体" w:hAnsi="宋体" w:eastAsia="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（编号</w:t>
      </w:r>
      <w:r>
        <w:rPr>
          <w:rFonts w:hint="eastAsia" w:ascii="宋体" w:hAnsi="宋体" w:eastAsia="宋体" w:cs="宋体"/>
          <w:color w:val="auto"/>
          <w:spacing w:val="6"/>
          <w:sz w:val="21"/>
          <w:szCs w:val="21"/>
          <w:u w:val="single"/>
        </w:rPr>
        <w:t>：</w:t>
      </w:r>
      <w:r>
        <w:rPr>
          <w:rFonts w:hint="eastAsia" w:hAnsi="宋体" w:cs="宋体"/>
          <w:color w:val="auto"/>
          <w:spacing w:val="6"/>
          <w:sz w:val="21"/>
          <w:szCs w:val="21"/>
          <w:u w:val="single"/>
          <w:lang w:eastAsia="zh-CN"/>
        </w:rPr>
        <w:t>CTZB-2024040057</w:t>
      </w:r>
      <w:r>
        <w:rPr>
          <w:rFonts w:hint="eastAsia" w:ascii="宋体" w:hAnsi="宋体" w:eastAsia="宋体" w:cs="宋体"/>
          <w:color w:val="auto"/>
          <w:spacing w:val="6"/>
          <w:sz w:val="21"/>
          <w:szCs w:val="21"/>
          <w:u w:val="single"/>
        </w:rPr>
        <w:t xml:space="preserve"> </w:t>
      </w:r>
      <w:r>
        <w:rPr>
          <w:rFonts w:hint="eastAsia" w:hAnsi="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 xml:space="preserve">）政府采购活动，现就有关公平竞争事项郑重声明如下： </w:t>
      </w:r>
    </w:p>
    <w:p>
      <w:pPr>
        <w:pStyle w:val="45"/>
        <w:widowControl/>
        <w:numPr>
          <w:ilvl w:val="0"/>
          <w:numId w:val="11"/>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本单位与采购人之间 □不存在利害关系 □存在下列利害关系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A.投资关系    B.行政隶属关系    C.业务指导关系</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D.其他可能</w:t>
      </w:r>
      <w:r>
        <w:rPr>
          <w:rFonts w:hint="eastAsia" w:ascii="宋体" w:hAnsi="宋体" w:eastAsia="宋体" w:cs="宋体"/>
          <w:color w:val="auto"/>
          <w:sz w:val="21"/>
          <w:szCs w:val="21"/>
        </w:rPr>
        <w:t>影响采购公正的</w:t>
      </w:r>
      <w:r>
        <w:rPr>
          <w:rFonts w:hint="eastAsia" w:ascii="宋体" w:hAnsi="宋体" w:eastAsia="宋体" w:cs="宋体"/>
          <w:color w:val="auto"/>
          <w:kern w:val="0"/>
          <w:sz w:val="21"/>
          <w:szCs w:val="21"/>
        </w:rPr>
        <w:t>利害关系</w:t>
      </w:r>
      <w:r>
        <w:rPr>
          <w:rFonts w:hint="eastAsia" w:ascii="宋体" w:hAnsi="宋体" w:eastAsia="宋体" w:cs="宋体"/>
          <w:color w:val="auto"/>
          <w:kern w:val="0"/>
          <w:sz w:val="21"/>
          <w:szCs w:val="21"/>
          <w:u w:val="single"/>
        </w:rPr>
        <w:t xml:space="preserve">（如有，请如实说明）                 </w:t>
      </w:r>
      <w:r>
        <w:rPr>
          <w:rFonts w:hint="eastAsia" w:ascii="宋体" w:hAnsi="宋体" w:eastAsia="宋体" w:cs="宋体"/>
          <w:color w:val="auto"/>
          <w:kern w:val="0"/>
          <w:sz w:val="21"/>
          <w:szCs w:val="21"/>
        </w:rPr>
        <w:t>。</w:t>
      </w:r>
    </w:p>
    <w:p>
      <w:pPr>
        <w:pStyle w:val="45"/>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spacing w:val="6"/>
          <w:sz w:val="21"/>
          <w:szCs w:val="21"/>
        </w:rPr>
        <w:t xml:space="preserve">  二、</w:t>
      </w:r>
      <w:r>
        <w:rPr>
          <w:rFonts w:hint="eastAsia" w:ascii="宋体" w:hAnsi="宋体" w:eastAsia="宋体" w:cs="宋体"/>
          <w:color w:val="auto"/>
          <w:kern w:val="0"/>
          <w:sz w:val="21"/>
          <w:szCs w:val="21"/>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u w:val="single"/>
        </w:rPr>
        <w:t xml:space="preserve">           （供应商名称）</w:t>
      </w:r>
      <w:r>
        <w:rPr>
          <w:rFonts w:hint="eastAsia" w:ascii="宋体" w:hAnsi="宋体" w:eastAsia="宋体" w:cs="宋体"/>
          <w:color w:val="auto"/>
          <w:kern w:val="0"/>
          <w:sz w:val="21"/>
          <w:szCs w:val="21"/>
        </w:rPr>
        <w:t>之间存在下列利害关系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A.法定代表人或负责人或实际控制人是同一人</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B.法定代表人或负责人或实际控制人是夫妻关系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C.法定代表人或负责人或实际控制人是直系血亲关系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D.法定代表人或负责人或实际控制人存在三代以内旁系血亲关系</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E.法定代表人或负责人或实际控制人存在近姻亲关系</w:t>
      </w:r>
    </w:p>
    <w:p>
      <w:pPr>
        <w:pStyle w:val="44"/>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F.法定代表人或负责人或实际控制人存在股份控制或实际控制关系</w:t>
      </w:r>
    </w:p>
    <w:p>
      <w:pPr>
        <w:pStyle w:val="44"/>
        <w:widowControl w:val="0"/>
        <w:snapToGrid w:val="0"/>
        <w:spacing w:line="500" w:lineRule="exact"/>
        <w:jc w:val="both"/>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G.存在共同直接或间接投资设立子公司、联营企业和合营企业情况</w:t>
      </w:r>
    </w:p>
    <w:p>
      <w:pPr>
        <w:pStyle w:val="44"/>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H.存在分级代理或代销关系、同一生产制造商关系、</w:t>
      </w:r>
      <w:r>
        <w:rPr>
          <w:rFonts w:hint="eastAsia" w:ascii="宋体" w:hAnsi="宋体" w:eastAsia="宋体" w:cs="宋体"/>
          <w:color w:val="auto"/>
          <w:sz w:val="21"/>
          <w:szCs w:val="21"/>
        </w:rPr>
        <w:t>管理关系、重要业务（占主营业务收入50%以上）或重要财务往来关系（如融资）等其他实质性控制关系</w:t>
      </w:r>
    </w:p>
    <w:p>
      <w:pPr>
        <w:pStyle w:val="44"/>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sz w:val="21"/>
          <w:szCs w:val="21"/>
        </w:rPr>
        <w:t xml:space="preserve">  I</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其他利害关系情况</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w:t>
      </w:r>
    </w:p>
    <w:p>
      <w:pPr>
        <w:pStyle w:val="45"/>
        <w:widowControl/>
        <w:numPr>
          <w:ilvl w:val="0"/>
          <w:numId w:val="12"/>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sz w:val="21"/>
          <w:szCs w:val="21"/>
        </w:rPr>
        <w:t>现已清楚知道并</w:t>
      </w:r>
      <w:r>
        <w:rPr>
          <w:rFonts w:hint="eastAsia" w:ascii="宋体" w:hAnsi="宋体" w:eastAsia="宋体" w:cs="宋体"/>
          <w:color w:val="auto"/>
          <w:kern w:val="0"/>
          <w:sz w:val="21"/>
          <w:szCs w:val="21"/>
        </w:rPr>
        <w:t>严格遵守政府采购法律法规和现场纪律。</w:t>
      </w:r>
    </w:p>
    <w:p>
      <w:pPr>
        <w:pStyle w:val="45"/>
        <w:widowControl/>
        <w:numPr>
          <w:ilvl w:val="0"/>
          <w:numId w:val="12"/>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我发现                    </w:t>
      </w:r>
      <w:r>
        <w:rPr>
          <w:rFonts w:hint="eastAsia" w:ascii="宋体" w:hAnsi="宋体" w:eastAsia="宋体" w:cs="宋体"/>
          <w:color w:val="auto"/>
          <w:kern w:val="0"/>
          <w:sz w:val="21"/>
          <w:szCs w:val="21"/>
        </w:rPr>
        <w:t>供应商之间存在或可能存在上述第二条第</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项利害关系。</w:t>
      </w:r>
    </w:p>
    <w:p>
      <w:pPr>
        <w:pStyle w:val="44"/>
        <w:widowControl w:val="0"/>
        <w:snapToGrid w:val="0"/>
        <w:spacing w:line="500" w:lineRule="exact"/>
        <w:jc w:val="center"/>
        <w:rPr>
          <w:rFonts w:hint="eastAsia" w:ascii="宋体" w:hAnsi="宋体" w:eastAsia="宋体" w:cs="宋体"/>
          <w:color w:val="auto"/>
          <w:sz w:val="21"/>
          <w:szCs w:val="21"/>
        </w:rPr>
      </w:pPr>
      <w:r>
        <w:rPr>
          <w:rFonts w:hint="eastAsia" w:hAnsi="宋体" w:cs="宋体"/>
          <w:color w:val="auto"/>
          <w:sz w:val="21"/>
          <w:szCs w:val="21"/>
          <w:lang w:val="en-US" w:eastAsia="zh-CN"/>
        </w:rPr>
        <w:t xml:space="preserve">                                                     </w:t>
      </w:r>
      <w:r>
        <w:rPr>
          <w:rFonts w:hint="eastAsia" w:ascii="宋体" w:hAnsi="宋体" w:eastAsia="宋体" w:cs="宋体"/>
          <w:color w:val="auto"/>
          <w:sz w:val="21"/>
          <w:szCs w:val="21"/>
        </w:rPr>
        <w:t>供应商代表签名：</w:t>
      </w:r>
    </w:p>
    <w:p>
      <w:pPr>
        <w:jc w:val="right"/>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2024年   </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w:t>
      </w:r>
    </w:p>
    <w:p>
      <w:pPr>
        <w:pStyle w:val="5"/>
        <w:ind w:firstLine="0"/>
        <w:jc w:val="left"/>
        <w:rPr>
          <w:rFonts w:hint="eastAsia" w:ascii="宋体" w:hAnsi="宋体" w:eastAsia="宋体" w:cs="宋体"/>
          <w:b/>
          <w:color w:val="0000FF"/>
          <w:sz w:val="24"/>
          <w:szCs w:val="24"/>
          <w:lang w:val="zh-CN"/>
        </w:rPr>
      </w:pPr>
    </w:p>
    <w:p>
      <w:pPr>
        <w:pStyle w:val="7"/>
        <w:rPr>
          <w:rFonts w:hint="eastAsia" w:ascii="宋体" w:hAnsi="宋体" w:eastAsia="宋体" w:cs="宋体"/>
          <w:b w:val="0"/>
          <w:bCs/>
          <w:color w:val="0000FF"/>
        </w:rPr>
      </w:pPr>
      <w:r>
        <w:rPr>
          <w:rFonts w:hint="eastAsia" w:ascii="宋体" w:hAnsi="宋体" w:eastAsia="宋体" w:cs="宋体"/>
          <w:b w:val="0"/>
          <w:bCs/>
          <w:color w:val="0000FF"/>
        </w:rPr>
        <w:t>注：1、本表非</w:t>
      </w:r>
      <w:r>
        <w:rPr>
          <w:rFonts w:hint="eastAsia" w:ascii="宋体" w:hAnsi="宋体" w:eastAsia="宋体" w:cs="宋体"/>
          <w:b w:val="0"/>
          <w:bCs/>
          <w:color w:val="0000FF"/>
          <w:lang w:val="en-US" w:eastAsia="zh-CN"/>
        </w:rPr>
        <w:t>响应</w:t>
      </w:r>
      <w:r>
        <w:rPr>
          <w:rFonts w:hint="eastAsia" w:ascii="宋体" w:hAnsi="宋体" w:eastAsia="宋体" w:cs="宋体"/>
          <w:b w:val="0"/>
          <w:bCs/>
          <w:color w:val="0000FF"/>
        </w:rPr>
        <w:t>文件的组成内容，</w:t>
      </w:r>
      <w:r>
        <w:rPr>
          <w:rFonts w:hint="eastAsia" w:ascii="宋体" w:hAnsi="宋体" w:eastAsia="宋体" w:cs="宋体"/>
          <w:b w:val="0"/>
          <w:bCs/>
          <w:color w:val="0000FF"/>
          <w:lang w:val="en-US" w:eastAsia="zh-CN"/>
        </w:rPr>
        <w:t>无</w:t>
      </w:r>
      <w:r>
        <w:rPr>
          <w:rFonts w:hint="eastAsia" w:ascii="宋体" w:hAnsi="宋体" w:eastAsia="宋体" w:cs="宋体"/>
          <w:b w:val="0"/>
          <w:bCs/>
          <w:color w:val="0000FF"/>
        </w:rPr>
        <w:t>须在</w:t>
      </w:r>
      <w:r>
        <w:rPr>
          <w:rFonts w:hint="eastAsia" w:ascii="宋体" w:hAnsi="宋体" w:eastAsia="宋体" w:cs="宋体"/>
          <w:b w:val="0"/>
          <w:bCs/>
          <w:color w:val="0000FF"/>
          <w:lang w:val="en-US" w:eastAsia="zh-CN"/>
        </w:rPr>
        <w:t>响应</w:t>
      </w:r>
      <w:r>
        <w:rPr>
          <w:rFonts w:hint="eastAsia" w:ascii="宋体" w:hAnsi="宋体" w:eastAsia="宋体" w:cs="宋体"/>
          <w:b w:val="0"/>
          <w:bCs/>
          <w:color w:val="0000FF"/>
        </w:rPr>
        <w:t>文件中提供。</w:t>
      </w:r>
    </w:p>
    <w:p>
      <w:pPr>
        <w:pStyle w:val="7"/>
        <w:rPr>
          <w:rFonts w:hint="eastAsia" w:ascii="宋体" w:hAnsi="宋体" w:eastAsia="宋体" w:cs="宋体"/>
          <w:color w:val="0000FF"/>
        </w:rPr>
      </w:pPr>
      <w:r>
        <w:rPr>
          <w:rFonts w:hint="eastAsia" w:ascii="宋体" w:hAnsi="宋体" w:eastAsia="宋体" w:cs="宋体"/>
          <w:b w:val="0"/>
          <w:bCs/>
          <w:color w:val="0000FF"/>
          <w:lang w:val="en-US" w:eastAsia="zh-CN"/>
        </w:rPr>
        <w:t xml:space="preserve">    </w:t>
      </w:r>
      <w:r>
        <w:rPr>
          <w:rFonts w:hint="eastAsia" w:ascii="宋体" w:hAnsi="宋体" w:eastAsia="宋体" w:cs="宋体"/>
          <w:b w:val="0"/>
          <w:bCs/>
          <w:color w:val="0000FF"/>
        </w:rPr>
        <w:t>2、</w:t>
      </w:r>
      <w:r>
        <w:rPr>
          <w:rFonts w:hint="eastAsia" w:ascii="宋体" w:hAnsi="宋体" w:eastAsia="宋体" w:cs="宋体"/>
          <w:b w:val="0"/>
          <w:bCs/>
          <w:color w:val="0000FF"/>
          <w:lang w:val="en-US" w:eastAsia="zh-CN"/>
        </w:rPr>
        <w:t>各供应商可提前打印本表，开标当日</w:t>
      </w:r>
      <w:r>
        <w:rPr>
          <w:rFonts w:hint="eastAsia" w:ascii="宋体" w:hAnsi="宋体" w:eastAsia="宋体" w:cs="宋体"/>
          <w:b w:val="0"/>
          <w:bCs/>
          <w:color w:val="0000FF"/>
        </w:rPr>
        <w:t>，</w:t>
      </w:r>
      <w:r>
        <w:rPr>
          <w:rFonts w:hint="eastAsia" w:ascii="宋体" w:hAnsi="宋体" w:eastAsia="宋体" w:cs="宋体"/>
          <w:b w:val="0"/>
          <w:bCs/>
          <w:color w:val="0000FF"/>
          <w:lang w:val="zh-CN"/>
        </w:rPr>
        <w:t>签署完毕后</w:t>
      </w:r>
      <w:r>
        <w:rPr>
          <w:rFonts w:hint="eastAsia" w:ascii="宋体" w:hAnsi="宋体" w:eastAsia="宋体" w:cs="宋体"/>
          <w:b w:val="0"/>
          <w:bCs/>
          <w:color w:val="0000FF"/>
          <w:lang w:val="en-US" w:eastAsia="zh-CN"/>
        </w:rPr>
        <w:t>发送</w:t>
      </w:r>
      <w:r>
        <w:rPr>
          <w:rFonts w:hint="eastAsia" w:ascii="宋体" w:hAnsi="宋体" w:eastAsia="宋体" w:cs="宋体"/>
          <w:b w:val="0"/>
          <w:bCs/>
          <w:color w:val="0000FF"/>
          <w:lang w:val="zh-CN"/>
        </w:rPr>
        <w:t>至</w:t>
      </w:r>
      <w:r>
        <w:rPr>
          <w:rFonts w:hint="eastAsia" w:ascii="宋体" w:hAnsi="宋体" w:eastAsia="宋体" w:cs="宋体"/>
          <w:b w:val="0"/>
          <w:bCs/>
          <w:color w:val="0000FF"/>
          <w:lang w:val="en-US" w:eastAsia="zh-CN"/>
        </w:rPr>
        <w:t>邮箱846270514@qq.com</w:t>
      </w:r>
      <w:r>
        <w:rPr>
          <w:rFonts w:hint="eastAsia" w:ascii="宋体" w:hAnsi="宋体" w:eastAsia="宋体" w:cs="宋体"/>
          <w:b w:val="0"/>
          <w:bCs/>
          <w:color w:val="0000FF"/>
        </w:rPr>
        <w:t>。</w:t>
      </w:r>
    </w:p>
    <w:bookmarkEnd w:id="2724"/>
    <w:bookmarkEnd w:id="2725"/>
    <w:bookmarkEnd w:id="2726"/>
    <w:bookmarkEnd w:id="2727"/>
    <w:bookmarkEnd w:id="2728"/>
    <w:bookmarkEnd w:id="2729"/>
    <w:bookmarkEnd w:id="2730"/>
    <w:p>
      <w:pPr>
        <w:pStyle w:val="5"/>
        <w:ind w:firstLine="0"/>
        <w:jc w:val="left"/>
        <w:rPr>
          <w:rFonts w:hint="eastAsia" w:ascii="宋体" w:hAnsi="宋体" w:eastAsia="宋体" w:cs="宋体"/>
          <w:b/>
          <w:color w:val="auto"/>
          <w:sz w:val="24"/>
          <w:szCs w:val="24"/>
          <w:lang w:val="zh-CN"/>
        </w:rPr>
      </w:pPr>
    </w:p>
    <w:sectPr>
      <w:footerReference r:id="rId7" w:type="default"/>
      <w:pgSz w:w="11906" w:h="16838"/>
      <w:pgMar w:top="1440" w:right="1440" w:bottom="1440" w:left="1440"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SimSun-Identity-H">
    <w:altName w:val="宋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u w:val="single"/>
      </w:rPr>
    </w:pPr>
    <w:r>
      <w:rPr>
        <w:rFonts w:hint="eastAsia"/>
        <w:u w:val="single"/>
      </w:rPr>
      <w:t>浙江省成套招标代理有限公司</w:t>
    </w:r>
  </w:p>
  <w:p>
    <w:pPr>
      <w:pStyle w:val="1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Lines="0" w:afterLines="0"/>
      <w:rPr>
        <w:rFonts w:hint="default"/>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339966" w:sz="12" w:space="0"/>
      </w:pBdr>
      <w:jc w:val="both"/>
      <w:rPr>
        <w:rFonts w:hint="eastAsia" w:ascii="楷体" w:hAnsi="楷体" w:eastAsia="楷体" w:cs="华文楷体"/>
        <w:color w:val="auto"/>
        <w:sz w:val="22"/>
        <w:szCs w:val="22"/>
        <w:lang w:val="en-US" w:eastAsia="zh-CN"/>
      </w:rPr>
    </w:pPr>
    <w:r>
      <w:rPr>
        <w:rFonts w:hint="eastAsia" w:ascii="楷体" w:hAnsi="楷体" w:eastAsia="楷体" w:cs="华文楷体"/>
        <w:color w:val="auto"/>
        <w:sz w:val="22"/>
        <w:szCs w:val="22"/>
      </w:rPr>
      <mc:AlternateContent>
        <mc:Choice Requires="wpg">
          <w:drawing>
            <wp:anchor distT="0" distB="0" distL="114300" distR="114300" simplePos="0" relativeHeight="251661312" behindDoc="0" locked="0" layoutInCell="1" allowOverlap="1">
              <wp:simplePos x="0" y="0"/>
              <wp:positionH relativeFrom="column">
                <wp:posOffset>33655</wp:posOffset>
              </wp:positionH>
              <wp:positionV relativeFrom="paragraph">
                <wp:posOffset>78740</wp:posOffset>
              </wp:positionV>
              <wp:extent cx="1293495" cy="269240"/>
              <wp:effectExtent l="0" t="0" r="1905" b="16510"/>
              <wp:wrapNone/>
              <wp:docPr id="18" name="组合 18"/>
              <wp:cNvGraphicFramePr/>
              <a:graphic xmlns:a="http://schemas.openxmlformats.org/drawingml/2006/main">
                <a:graphicData uri="http://schemas.microsoft.com/office/word/2010/wordprocessingGroup">
                  <wpg:wgp>
                    <wpg:cNvGrpSpPr/>
                    <wpg:grpSpPr>
                      <a:xfrm>
                        <a:off x="0" y="0"/>
                        <a:ext cx="1293495" cy="269240"/>
                        <a:chOff x="2037" y="1100"/>
                        <a:chExt cx="1336" cy="283"/>
                      </a:xfrm>
                      <a:effectLst/>
                    </wpg:grpSpPr>
                    <pic:pic xmlns:pic="http://schemas.openxmlformats.org/drawingml/2006/picture">
                      <pic:nvPicPr>
                        <pic:cNvPr id="7" name="图片 3"/>
                        <pic:cNvPicPr>
                          <a:picLocks noChangeAspect="1"/>
                        </pic:cNvPicPr>
                      </pic:nvPicPr>
                      <pic:blipFill>
                        <a:blip r:embed="rId1"/>
                        <a:stretch>
                          <a:fillRect/>
                        </a:stretch>
                      </pic:blipFill>
                      <pic:spPr>
                        <a:xfrm>
                          <a:off x="2037" y="1100"/>
                          <a:ext cx="285" cy="283"/>
                        </a:xfrm>
                        <a:prstGeom prst="rect">
                          <a:avLst/>
                        </a:prstGeom>
                        <a:noFill/>
                        <a:ln w="9525">
                          <a:noFill/>
                        </a:ln>
                        <a:effectLst/>
                      </pic:spPr>
                    </pic:pic>
                    <pic:pic xmlns:pic="http://schemas.openxmlformats.org/drawingml/2006/picture">
                      <pic:nvPicPr>
                        <pic:cNvPr id="8" name="图片 2"/>
                        <pic:cNvPicPr>
                          <a:picLocks noChangeAspect="1"/>
                        </pic:cNvPicPr>
                      </pic:nvPicPr>
                      <pic:blipFill>
                        <a:blip r:embed="rId2"/>
                        <a:stretch>
                          <a:fillRect/>
                        </a:stretch>
                      </pic:blipFill>
                      <pic:spPr>
                        <a:xfrm>
                          <a:off x="2322" y="1100"/>
                          <a:ext cx="1051" cy="283"/>
                        </a:xfrm>
                        <a:prstGeom prst="rect">
                          <a:avLst/>
                        </a:prstGeom>
                        <a:noFill/>
                        <a:ln w="9525">
                          <a:noFill/>
                        </a:ln>
                        <a:effectLst/>
                      </pic:spPr>
                    </pic:pic>
                  </wpg:wgp>
                </a:graphicData>
              </a:graphic>
            </wp:anchor>
          </w:drawing>
        </mc:Choice>
        <mc:Fallback>
          <w:pict>
            <v:group id="_x0000_s1026" o:spid="_x0000_s1026" o:spt="203" style="position:absolute;left:0pt;margin-left:2.65pt;margin-top:6.2pt;height:21.2pt;width:101.85pt;z-index:251661312;mso-width-relative:page;mso-height-relative:page;" coordorigin="2037,1100" coordsize="1336,283" o:gfxdata="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C5s8AC/AAAA&#10;pQEAABkAAABkcnMvX3JlbHMvZTJvRG9jLnhtbC5yZWxzvZDBisIwEIbvC/sOYe7btD0sspj2IoJX&#10;cR9gSKZpsJmEJIq+vYFlQUHw5nFm+L//Y9bjxS/iTCm7wAq6pgVBrINxbBX8HrZfKxC5IBtcApOC&#10;K2UYh8+P9Z4WLDWUZxezqBTOCuZS4o+UWc/kMTchEtfLFJLHUsdkZUR9REuyb9tvme4ZMDwwxc4o&#10;SDvTgzhcY21+zQ7T5DRtgj554vKkQjpfuysQk6WiwJNx+Lfsm8gW5HOH7j0O3b+DfHjucAN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">
              <o:lock v:ext="edit" aspectratio="f"/>
              <v:shape id="图片 3" o:spid="_x0000_s1026" o:spt="75" type="#_x0000_t75" style="position:absolute;left:2037;top:1100;height:283;width:285;" filled="f" o:preferrelative="t" stroked="f" coordsize="21600,21600" o:gfxdata="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a/5q8AAAA&#10;2gAAAA8AAAAAAAAAAQAgAAAAIgAAAGRycy9kb3ducmV2LnhtbFBLAQIUABQAAAAIAIdO4kAzLwWe&#10;OwAAADkAAAAQAAAAAAAAAAEAIAAAAAsBAABkcnMvc2hhcGV4bWwueG1sUEsFBgAAAAAGAAYAWwEA&#10;ALUDAAAAAA==&#10;">
                <v:fill on="f" focussize="0,0"/>
                <v:stroke on="f"/>
                <v:imagedata r:id="rId1" o:title=""/>
                <o:lock v:ext="edit" aspectratio="t"/>
              </v:shape>
              <v:shape id="图片 2" o:spid="_x0000_s1026" o:spt="75" type="#_x0000_t75" style="position:absolute;left:2322;top:1100;height:283;width:1051;" filled="f" o:preferrelative="t" stroked="f" coordsize="21600,21600" o:gfxdata="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IwygW5AAAA2gAA&#10;AA8AAAAAAAAAAQAgAAAAIgAAAGRycy9kb3ducmV2LnhtbFBLAQIUABQAAAAIAIdO4kAzLwWeOwAA&#10;ADkAAAAQAAAAAAAAAAEAIAAAAAgBAABkcnMvc2hhcGV4bWwueG1sUEsFBgAAAAAGAAYAWwEAALID&#10;AAAAAA==&#10;">
                <v:fill on="f" focussize="0,0"/>
                <v:stroke on="f"/>
                <v:imagedata r:id="rId2" o:title=""/>
                <o:lock v:ext="edit" aspectratio="t"/>
              </v:shape>
            </v:group>
          </w:pict>
        </mc:Fallback>
      </mc:AlternateContent>
    </w:r>
    <w:r>
      <w:rPr>
        <w:rFonts w:hint="eastAsia" w:ascii="楷体" w:hAnsi="楷体" w:eastAsia="楷体" w:cs="华文楷体"/>
        <w:color w:val="auto"/>
        <w:sz w:val="22"/>
        <w:szCs w:val="22"/>
        <w:lang w:val="en-US" w:eastAsia="zh-CN"/>
      </w:rPr>
      <w:t xml:space="preserve">                    </w:t>
    </w:r>
  </w:p>
  <w:p>
    <w:pPr>
      <w:pBdr>
        <w:bottom w:val="thickThinSmallGap" w:color="339966" w:sz="12" w:space="0"/>
      </w:pBdr>
      <w:jc w:val="right"/>
      <w:rPr>
        <w:rFonts w:ascii="宋体" w:hAnsi="宋体"/>
      </w:rPr>
    </w:pPr>
    <w:r>
      <w:rPr>
        <w:rFonts w:hint="eastAsia" w:ascii="宋体" w:hAnsi="宋体" w:eastAsia="宋体" w:cs="宋体"/>
        <w:color w:val="auto"/>
        <w:w w:val="60"/>
        <w:sz w:val="24"/>
        <w:szCs w:val="24"/>
        <w:lang w:val="en-US" w:eastAsia="zh-CN"/>
      </w:rPr>
      <w:t>仙居县城乡冷链物流设施项目—物流网点连接线工程（下各镇）</w:t>
    </w:r>
    <w:r>
      <w:rPr>
        <w:rFonts w:hint="eastAsia" w:ascii="宋体" w:hAnsi="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1FBD9"/>
    <w:multiLevelType w:val="singleLevel"/>
    <w:tmpl w:val="9EF1FBD9"/>
    <w:lvl w:ilvl="0" w:tentative="0">
      <w:start w:val="1"/>
      <w:numFmt w:val="decimal"/>
      <w:suff w:val="nothing"/>
      <w:lvlText w:val="（%1）"/>
      <w:lvlJc w:val="left"/>
      <w:pPr>
        <w:ind w:left="-60"/>
      </w:pPr>
    </w:lvl>
  </w:abstractNum>
  <w:abstractNum w:abstractNumId="1">
    <w:nsid w:val="DD172818"/>
    <w:multiLevelType w:val="multilevel"/>
    <w:tmpl w:val="DD17281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E569491F"/>
    <w:multiLevelType w:val="multilevel"/>
    <w:tmpl w:val="E569491F"/>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1BBAB218"/>
    <w:multiLevelType w:val="singleLevel"/>
    <w:tmpl w:val="1BBAB218"/>
    <w:lvl w:ilvl="0" w:tentative="0">
      <w:start w:val="1"/>
      <w:numFmt w:val="decimal"/>
      <w:suff w:val="nothing"/>
      <w:lvlText w:val="%1、"/>
      <w:lvlJc w:val="left"/>
    </w:lvl>
  </w:abstractNum>
  <w:abstractNum w:abstractNumId="4">
    <w:nsid w:val="1C7B43CE"/>
    <w:multiLevelType w:val="singleLevel"/>
    <w:tmpl w:val="1C7B43CE"/>
    <w:lvl w:ilvl="0" w:tentative="0">
      <w:start w:val="3"/>
      <w:numFmt w:val="decimal"/>
      <w:suff w:val="nothing"/>
      <w:lvlText w:val="（%1）"/>
      <w:lvlJc w:val="left"/>
    </w:lvl>
  </w:abstractNum>
  <w:abstractNum w:abstractNumId="5">
    <w:nsid w:val="1C7C4CD4"/>
    <w:multiLevelType w:val="singleLevel"/>
    <w:tmpl w:val="1C7C4CD4"/>
    <w:lvl w:ilvl="0" w:tentative="0">
      <w:start w:val="9"/>
      <w:numFmt w:val="chineseCounting"/>
      <w:suff w:val="nothing"/>
      <w:lvlText w:val="%1、"/>
      <w:lvlJc w:val="left"/>
      <w:rPr>
        <w:rFonts w:hint="eastAsia"/>
      </w:rPr>
    </w:lvl>
  </w:abstractNum>
  <w:abstractNum w:abstractNumId="6">
    <w:nsid w:val="1F51FC32"/>
    <w:multiLevelType w:val="singleLevel"/>
    <w:tmpl w:val="1F51FC32"/>
    <w:lvl w:ilvl="0" w:tentative="0">
      <w:start w:val="5"/>
      <w:numFmt w:val="chineseCounting"/>
      <w:suff w:val="nothing"/>
      <w:lvlText w:val="%1、"/>
      <w:lvlJc w:val="left"/>
      <w:rPr>
        <w:rFonts w:hint="eastAsia"/>
      </w:rPr>
    </w:lvl>
  </w:abstractNum>
  <w:abstractNum w:abstractNumId="7">
    <w:nsid w:val="2A6D0720"/>
    <w:multiLevelType w:val="singleLevel"/>
    <w:tmpl w:val="2A6D0720"/>
    <w:lvl w:ilvl="0" w:tentative="0">
      <w:start w:val="1"/>
      <w:numFmt w:val="decimal"/>
      <w:suff w:val="nothing"/>
      <w:lvlText w:val="（%1）"/>
      <w:lvlJc w:val="left"/>
    </w:lvl>
  </w:abstractNum>
  <w:abstractNum w:abstractNumId="8">
    <w:nsid w:val="54F403B5"/>
    <w:multiLevelType w:val="singleLevel"/>
    <w:tmpl w:val="54F403B5"/>
    <w:lvl w:ilvl="0" w:tentative="0">
      <w:start w:val="1"/>
      <w:numFmt w:val="chineseCounting"/>
      <w:suff w:val="nothing"/>
      <w:lvlText w:val="%1、"/>
      <w:lvlJc w:val="left"/>
      <w:rPr>
        <w:rFonts w:cs="Times New Roman"/>
      </w:rPr>
    </w:lvl>
  </w:abstractNum>
  <w:abstractNum w:abstractNumId="9">
    <w:nsid w:val="557FD3DA"/>
    <w:multiLevelType w:val="singleLevel"/>
    <w:tmpl w:val="557FD3DA"/>
    <w:lvl w:ilvl="0" w:tentative="0">
      <w:start w:val="3"/>
      <w:numFmt w:val="chineseCounting"/>
      <w:suff w:val="nothing"/>
      <w:lvlText w:val="%1、"/>
      <w:lvlJc w:val="left"/>
      <w:rPr>
        <w:rFonts w:cs="Times New Roman"/>
      </w:rPr>
    </w:lvl>
  </w:abstractNum>
  <w:abstractNum w:abstractNumId="10">
    <w:nsid w:val="6A922762"/>
    <w:multiLevelType w:val="multilevel"/>
    <w:tmpl w:val="6A922762"/>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lvl w:ilvl="0" w:tentative="1">
        <w:start w:val="1"/>
        <w:numFmt w:val="chineseCountingThousand"/>
        <w:suff w:val="space"/>
        <w:lvlText w:val="%1、"/>
        <w:lvlJc w:val="left"/>
        <w:pPr>
          <w:ind w:left="420" w:hanging="420"/>
        </w:p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2">
    <w:abstractNumId w:val="2"/>
    <w:lvlOverride w:ilvl="0">
      <w:lvl w:ilvl="0" w:tentative="1">
        <w:start w:val="1"/>
        <w:numFmt w:val="chineseCountingThousand"/>
        <w:suff w:val="space"/>
        <w:lvlText w:val="%1、"/>
        <w:lvlJc w:val="left"/>
        <w:pPr>
          <w:ind w:left="420" w:hanging="420"/>
        </w:p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3">
    <w:abstractNumId w:val="6"/>
  </w:num>
  <w:num w:numId="4">
    <w:abstractNumId w:val="7"/>
  </w:num>
  <w:num w:numId="5">
    <w:abstractNumId w:val="5"/>
  </w:num>
  <w:num w:numId="6">
    <w:abstractNumId w:val="3"/>
  </w:num>
  <w:num w:numId="7">
    <w:abstractNumId w:val="10"/>
    <w:lvlOverride w:ilvl="0">
      <w:startOverride w:val="1"/>
    </w:lvlOverride>
  </w:num>
  <w:num w:numId="8">
    <w:abstractNumId w:val="4"/>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OTU3YjczZTNmYWIxZjNmM2JkZGY5NWJhN2UwNWYifQ=="/>
  </w:docVars>
  <w:rsids>
    <w:rsidRoot w:val="00172A27"/>
    <w:rsid w:val="00733E26"/>
    <w:rsid w:val="007944E6"/>
    <w:rsid w:val="009349B7"/>
    <w:rsid w:val="00DD5525"/>
    <w:rsid w:val="012D66CB"/>
    <w:rsid w:val="014E2B12"/>
    <w:rsid w:val="01631721"/>
    <w:rsid w:val="017C6D0A"/>
    <w:rsid w:val="019307F8"/>
    <w:rsid w:val="01974B71"/>
    <w:rsid w:val="01A20482"/>
    <w:rsid w:val="01B37510"/>
    <w:rsid w:val="01F10F4B"/>
    <w:rsid w:val="02071C2B"/>
    <w:rsid w:val="020F7B7E"/>
    <w:rsid w:val="02182ED7"/>
    <w:rsid w:val="02704AC1"/>
    <w:rsid w:val="02714395"/>
    <w:rsid w:val="02AB2CA5"/>
    <w:rsid w:val="030A45AF"/>
    <w:rsid w:val="03100F08"/>
    <w:rsid w:val="034003D5"/>
    <w:rsid w:val="03597340"/>
    <w:rsid w:val="03667C72"/>
    <w:rsid w:val="036A59B4"/>
    <w:rsid w:val="03EC0177"/>
    <w:rsid w:val="04681FB9"/>
    <w:rsid w:val="047955DF"/>
    <w:rsid w:val="047F5600"/>
    <w:rsid w:val="04A86794"/>
    <w:rsid w:val="04CE20AC"/>
    <w:rsid w:val="05113C74"/>
    <w:rsid w:val="05834B0B"/>
    <w:rsid w:val="0604671C"/>
    <w:rsid w:val="06047D48"/>
    <w:rsid w:val="06753A59"/>
    <w:rsid w:val="068B011B"/>
    <w:rsid w:val="06C33202"/>
    <w:rsid w:val="075E4C2B"/>
    <w:rsid w:val="07693C97"/>
    <w:rsid w:val="07854B6B"/>
    <w:rsid w:val="079E5501"/>
    <w:rsid w:val="07AD1777"/>
    <w:rsid w:val="07B45E98"/>
    <w:rsid w:val="07B54E4F"/>
    <w:rsid w:val="07E04497"/>
    <w:rsid w:val="07ED44BE"/>
    <w:rsid w:val="07FE2B6F"/>
    <w:rsid w:val="081541D2"/>
    <w:rsid w:val="08455DB5"/>
    <w:rsid w:val="08534425"/>
    <w:rsid w:val="08601134"/>
    <w:rsid w:val="08A3464E"/>
    <w:rsid w:val="08A47272"/>
    <w:rsid w:val="08DB2EDC"/>
    <w:rsid w:val="08E21F8A"/>
    <w:rsid w:val="08F744CD"/>
    <w:rsid w:val="092F3E02"/>
    <w:rsid w:val="0935611C"/>
    <w:rsid w:val="09772C97"/>
    <w:rsid w:val="09886B94"/>
    <w:rsid w:val="099472E7"/>
    <w:rsid w:val="09BA43E2"/>
    <w:rsid w:val="09C31987"/>
    <w:rsid w:val="09E43353"/>
    <w:rsid w:val="0ABB4D47"/>
    <w:rsid w:val="0ACE4A7B"/>
    <w:rsid w:val="0B304245"/>
    <w:rsid w:val="0B583635"/>
    <w:rsid w:val="0BFC505D"/>
    <w:rsid w:val="0C9C4A94"/>
    <w:rsid w:val="0CD81BE1"/>
    <w:rsid w:val="0CEF5FF2"/>
    <w:rsid w:val="0D8B0A01"/>
    <w:rsid w:val="0E461019"/>
    <w:rsid w:val="0E492053"/>
    <w:rsid w:val="0EC0292C"/>
    <w:rsid w:val="0F88614D"/>
    <w:rsid w:val="0FCE087C"/>
    <w:rsid w:val="0FD3668F"/>
    <w:rsid w:val="0FFB5583"/>
    <w:rsid w:val="10036F74"/>
    <w:rsid w:val="100D715A"/>
    <w:rsid w:val="105070ED"/>
    <w:rsid w:val="10671757"/>
    <w:rsid w:val="109617D9"/>
    <w:rsid w:val="11401B02"/>
    <w:rsid w:val="116457F1"/>
    <w:rsid w:val="11E2683B"/>
    <w:rsid w:val="11F4113A"/>
    <w:rsid w:val="11F4478F"/>
    <w:rsid w:val="122F55A5"/>
    <w:rsid w:val="123815EE"/>
    <w:rsid w:val="128860FD"/>
    <w:rsid w:val="12D23E0C"/>
    <w:rsid w:val="131A3B73"/>
    <w:rsid w:val="132E5F05"/>
    <w:rsid w:val="134347E7"/>
    <w:rsid w:val="137B32C6"/>
    <w:rsid w:val="139148C8"/>
    <w:rsid w:val="13954387"/>
    <w:rsid w:val="13AB567E"/>
    <w:rsid w:val="14125491"/>
    <w:rsid w:val="14172FEE"/>
    <w:rsid w:val="142E4A09"/>
    <w:rsid w:val="143E77CB"/>
    <w:rsid w:val="144027CD"/>
    <w:rsid w:val="14CA2F5A"/>
    <w:rsid w:val="15346F7A"/>
    <w:rsid w:val="155B65CD"/>
    <w:rsid w:val="156F1EFC"/>
    <w:rsid w:val="159B19FD"/>
    <w:rsid w:val="15AE7FD9"/>
    <w:rsid w:val="15C23EEE"/>
    <w:rsid w:val="15E433A4"/>
    <w:rsid w:val="15EB20BF"/>
    <w:rsid w:val="161522C0"/>
    <w:rsid w:val="162214C3"/>
    <w:rsid w:val="163767FA"/>
    <w:rsid w:val="163B4A6C"/>
    <w:rsid w:val="16C04CC9"/>
    <w:rsid w:val="16E80C72"/>
    <w:rsid w:val="16F47617"/>
    <w:rsid w:val="171F5C5B"/>
    <w:rsid w:val="174723BE"/>
    <w:rsid w:val="176D70D9"/>
    <w:rsid w:val="17832749"/>
    <w:rsid w:val="17EB6C6C"/>
    <w:rsid w:val="17F13B56"/>
    <w:rsid w:val="18B42823"/>
    <w:rsid w:val="18EF014F"/>
    <w:rsid w:val="19031D93"/>
    <w:rsid w:val="190B50EC"/>
    <w:rsid w:val="191F46F3"/>
    <w:rsid w:val="19401195"/>
    <w:rsid w:val="195E6FCA"/>
    <w:rsid w:val="19712658"/>
    <w:rsid w:val="1A3A17E5"/>
    <w:rsid w:val="1A497C7A"/>
    <w:rsid w:val="1A9B379E"/>
    <w:rsid w:val="1AC44158"/>
    <w:rsid w:val="1ADB4120"/>
    <w:rsid w:val="1B1C538E"/>
    <w:rsid w:val="1B4262CA"/>
    <w:rsid w:val="1B4810A6"/>
    <w:rsid w:val="1B862808"/>
    <w:rsid w:val="1B8767BD"/>
    <w:rsid w:val="1BB748E9"/>
    <w:rsid w:val="1BC31CAE"/>
    <w:rsid w:val="1C4C1CA3"/>
    <w:rsid w:val="1C8E7457"/>
    <w:rsid w:val="1CB02232"/>
    <w:rsid w:val="1CE0113E"/>
    <w:rsid w:val="1CFA16FF"/>
    <w:rsid w:val="1D047CC2"/>
    <w:rsid w:val="1D2C084C"/>
    <w:rsid w:val="1D6F1AEC"/>
    <w:rsid w:val="1D7356D8"/>
    <w:rsid w:val="1D850ACF"/>
    <w:rsid w:val="1DC51D0D"/>
    <w:rsid w:val="1DCF78BB"/>
    <w:rsid w:val="1DDF4451"/>
    <w:rsid w:val="1E116D00"/>
    <w:rsid w:val="1E127DF8"/>
    <w:rsid w:val="1E2E76AC"/>
    <w:rsid w:val="1EC65D3D"/>
    <w:rsid w:val="1ECC40A2"/>
    <w:rsid w:val="1ECF5AA7"/>
    <w:rsid w:val="1F6C5F0D"/>
    <w:rsid w:val="1F7C289F"/>
    <w:rsid w:val="1F881408"/>
    <w:rsid w:val="1F9279CD"/>
    <w:rsid w:val="1FA12306"/>
    <w:rsid w:val="1FC802F1"/>
    <w:rsid w:val="1FC80FBA"/>
    <w:rsid w:val="1FD245EA"/>
    <w:rsid w:val="202820DF"/>
    <w:rsid w:val="206D71B2"/>
    <w:rsid w:val="214C2DAB"/>
    <w:rsid w:val="21582E98"/>
    <w:rsid w:val="21FF70E4"/>
    <w:rsid w:val="224C6559"/>
    <w:rsid w:val="225C61C8"/>
    <w:rsid w:val="227B0906"/>
    <w:rsid w:val="2394794F"/>
    <w:rsid w:val="23E206DE"/>
    <w:rsid w:val="23E3514C"/>
    <w:rsid w:val="23FB0C02"/>
    <w:rsid w:val="241E038C"/>
    <w:rsid w:val="24590C19"/>
    <w:rsid w:val="24672932"/>
    <w:rsid w:val="249917FE"/>
    <w:rsid w:val="25433BD1"/>
    <w:rsid w:val="256C0530"/>
    <w:rsid w:val="25B451DA"/>
    <w:rsid w:val="25D02FFD"/>
    <w:rsid w:val="264A07E2"/>
    <w:rsid w:val="26672A31"/>
    <w:rsid w:val="26812F3F"/>
    <w:rsid w:val="26C2328E"/>
    <w:rsid w:val="26DB3502"/>
    <w:rsid w:val="26F16A89"/>
    <w:rsid w:val="2705317A"/>
    <w:rsid w:val="27732456"/>
    <w:rsid w:val="2774085F"/>
    <w:rsid w:val="279B0575"/>
    <w:rsid w:val="27BB1438"/>
    <w:rsid w:val="282E3E11"/>
    <w:rsid w:val="287D7F87"/>
    <w:rsid w:val="29226266"/>
    <w:rsid w:val="293A48C5"/>
    <w:rsid w:val="296879B2"/>
    <w:rsid w:val="29A23F11"/>
    <w:rsid w:val="29B66195"/>
    <w:rsid w:val="29F44D7C"/>
    <w:rsid w:val="2A023B41"/>
    <w:rsid w:val="2A036237"/>
    <w:rsid w:val="2AA026CA"/>
    <w:rsid w:val="2AC82E3D"/>
    <w:rsid w:val="2B28344D"/>
    <w:rsid w:val="2B475D05"/>
    <w:rsid w:val="2B493EEB"/>
    <w:rsid w:val="2B831EC5"/>
    <w:rsid w:val="2BDC3649"/>
    <w:rsid w:val="2C027583"/>
    <w:rsid w:val="2C651043"/>
    <w:rsid w:val="2C683D92"/>
    <w:rsid w:val="2C7147E5"/>
    <w:rsid w:val="2C9A6113"/>
    <w:rsid w:val="2CA376BD"/>
    <w:rsid w:val="2CB4112A"/>
    <w:rsid w:val="2CB70A4F"/>
    <w:rsid w:val="2CBB48E3"/>
    <w:rsid w:val="2CDC0671"/>
    <w:rsid w:val="2D51314E"/>
    <w:rsid w:val="2D772C9F"/>
    <w:rsid w:val="2DAD1E76"/>
    <w:rsid w:val="2DC01A0A"/>
    <w:rsid w:val="2DED3EDA"/>
    <w:rsid w:val="2DF21472"/>
    <w:rsid w:val="2E3A783F"/>
    <w:rsid w:val="2E474078"/>
    <w:rsid w:val="2E4C207C"/>
    <w:rsid w:val="2E5A4EE1"/>
    <w:rsid w:val="2E7C0C98"/>
    <w:rsid w:val="2E813A2E"/>
    <w:rsid w:val="2F2A48B6"/>
    <w:rsid w:val="2F3B2D18"/>
    <w:rsid w:val="2F5E78CC"/>
    <w:rsid w:val="2FA75BCE"/>
    <w:rsid w:val="2FBC0CDA"/>
    <w:rsid w:val="2FF879CE"/>
    <w:rsid w:val="300317B5"/>
    <w:rsid w:val="30077F63"/>
    <w:rsid w:val="302C5C1C"/>
    <w:rsid w:val="303B72BA"/>
    <w:rsid w:val="30556F21"/>
    <w:rsid w:val="31050ACB"/>
    <w:rsid w:val="31422566"/>
    <w:rsid w:val="314A61B8"/>
    <w:rsid w:val="314E2ED5"/>
    <w:rsid w:val="31582A8E"/>
    <w:rsid w:val="3200779C"/>
    <w:rsid w:val="32324DF0"/>
    <w:rsid w:val="328E6C09"/>
    <w:rsid w:val="32A36C20"/>
    <w:rsid w:val="32DB2990"/>
    <w:rsid w:val="335B41DB"/>
    <w:rsid w:val="33744042"/>
    <w:rsid w:val="338B7ECF"/>
    <w:rsid w:val="33CA19D4"/>
    <w:rsid w:val="33F54E5A"/>
    <w:rsid w:val="34C14C6E"/>
    <w:rsid w:val="34F0546A"/>
    <w:rsid w:val="35002630"/>
    <w:rsid w:val="350E01C9"/>
    <w:rsid w:val="351D5851"/>
    <w:rsid w:val="35362D56"/>
    <w:rsid w:val="357419C0"/>
    <w:rsid w:val="35815FDC"/>
    <w:rsid w:val="35847960"/>
    <w:rsid w:val="35DE3514"/>
    <w:rsid w:val="35F5085E"/>
    <w:rsid w:val="36056AAB"/>
    <w:rsid w:val="36122CF7"/>
    <w:rsid w:val="362D7AA7"/>
    <w:rsid w:val="366A0CBE"/>
    <w:rsid w:val="366F0610"/>
    <w:rsid w:val="369029E5"/>
    <w:rsid w:val="36CC15BF"/>
    <w:rsid w:val="36F90F52"/>
    <w:rsid w:val="37031BBD"/>
    <w:rsid w:val="3716694A"/>
    <w:rsid w:val="371F767A"/>
    <w:rsid w:val="37385818"/>
    <w:rsid w:val="377D6D5D"/>
    <w:rsid w:val="3782477D"/>
    <w:rsid w:val="3813788B"/>
    <w:rsid w:val="382F421B"/>
    <w:rsid w:val="386761EB"/>
    <w:rsid w:val="39033E4D"/>
    <w:rsid w:val="3911775D"/>
    <w:rsid w:val="391A04E2"/>
    <w:rsid w:val="39553BA9"/>
    <w:rsid w:val="396D5E5B"/>
    <w:rsid w:val="398805DD"/>
    <w:rsid w:val="39A9504D"/>
    <w:rsid w:val="39BE0A85"/>
    <w:rsid w:val="39C2243E"/>
    <w:rsid w:val="39ED0A25"/>
    <w:rsid w:val="3A2C0A5F"/>
    <w:rsid w:val="3A6B22E9"/>
    <w:rsid w:val="3ADF3E50"/>
    <w:rsid w:val="3B123310"/>
    <w:rsid w:val="3B762441"/>
    <w:rsid w:val="3B7F4E52"/>
    <w:rsid w:val="3B9D29A9"/>
    <w:rsid w:val="3C2C24F3"/>
    <w:rsid w:val="3C3473CD"/>
    <w:rsid w:val="3C6A09EC"/>
    <w:rsid w:val="3CC01353"/>
    <w:rsid w:val="3CEB19F3"/>
    <w:rsid w:val="3D4F6AA6"/>
    <w:rsid w:val="3D5F318D"/>
    <w:rsid w:val="3DBA03C3"/>
    <w:rsid w:val="3DC2102F"/>
    <w:rsid w:val="3DD11929"/>
    <w:rsid w:val="3DE26608"/>
    <w:rsid w:val="3DFE0BF8"/>
    <w:rsid w:val="3E0E4BB3"/>
    <w:rsid w:val="3E1E3F4F"/>
    <w:rsid w:val="3E56348B"/>
    <w:rsid w:val="3E693B97"/>
    <w:rsid w:val="3E79182A"/>
    <w:rsid w:val="3EAC495E"/>
    <w:rsid w:val="3ECF60F0"/>
    <w:rsid w:val="3EDC6F0D"/>
    <w:rsid w:val="3F6B653E"/>
    <w:rsid w:val="3F8A496B"/>
    <w:rsid w:val="3FFB2F15"/>
    <w:rsid w:val="401D07D4"/>
    <w:rsid w:val="40387CC5"/>
    <w:rsid w:val="40464190"/>
    <w:rsid w:val="405034BF"/>
    <w:rsid w:val="40796085"/>
    <w:rsid w:val="40A16C21"/>
    <w:rsid w:val="40E02836"/>
    <w:rsid w:val="411E510D"/>
    <w:rsid w:val="413468FB"/>
    <w:rsid w:val="41432DC5"/>
    <w:rsid w:val="41831C27"/>
    <w:rsid w:val="41A00A5C"/>
    <w:rsid w:val="41DE664A"/>
    <w:rsid w:val="426B3B02"/>
    <w:rsid w:val="42802F9E"/>
    <w:rsid w:val="42B31885"/>
    <w:rsid w:val="42DE16F8"/>
    <w:rsid w:val="43217136"/>
    <w:rsid w:val="432405C3"/>
    <w:rsid w:val="43352D46"/>
    <w:rsid w:val="446E6091"/>
    <w:rsid w:val="44D53400"/>
    <w:rsid w:val="44ED3F8B"/>
    <w:rsid w:val="451220D5"/>
    <w:rsid w:val="45334044"/>
    <w:rsid w:val="4561381A"/>
    <w:rsid w:val="45A46568"/>
    <w:rsid w:val="45B253F4"/>
    <w:rsid w:val="45C3727B"/>
    <w:rsid w:val="46336F9C"/>
    <w:rsid w:val="468E35AC"/>
    <w:rsid w:val="469C1DF3"/>
    <w:rsid w:val="46A22098"/>
    <w:rsid w:val="46AE3650"/>
    <w:rsid w:val="46B465B4"/>
    <w:rsid w:val="46C3483E"/>
    <w:rsid w:val="46FC543C"/>
    <w:rsid w:val="4735354C"/>
    <w:rsid w:val="47B37F9B"/>
    <w:rsid w:val="48010421"/>
    <w:rsid w:val="480908C5"/>
    <w:rsid w:val="480C568B"/>
    <w:rsid w:val="481D4AC2"/>
    <w:rsid w:val="482A1636"/>
    <w:rsid w:val="48364935"/>
    <w:rsid w:val="48E21116"/>
    <w:rsid w:val="48EA3B26"/>
    <w:rsid w:val="49221512"/>
    <w:rsid w:val="494260A8"/>
    <w:rsid w:val="49746212"/>
    <w:rsid w:val="498875C7"/>
    <w:rsid w:val="49A032B4"/>
    <w:rsid w:val="49A14300"/>
    <w:rsid w:val="4A1A0C7A"/>
    <w:rsid w:val="4A1C3938"/>
    <w:rsid w:val="4A2117CA"/>
    <w:rsid w:val="4A295307"/>
    <w:rsid w:val="4A4D25BF"/>
    <w:rsid w:val="4A562F7B"/>
    <w:rsid w:val="4A895CED"/>
    <w:rsid w:val="4ADE1912"/>
    <w:rsid w:val="4AEC1DD8"/>
    <w:rsid w:val="4AF61082"/>
    <w:rsid w:val="4B0A78E0"/>
    <w:rsid w:val="4B413ED2"/>
    <w:rsid w:val="4B4B2FA2"/>
    <w:rsid w:val="4C0F2222"/>
    <w:rsid w:val="4C1930A0"/>
    <w:rsid w:val="4C484A70"/>
    <w:rsid w:val="4C76404F"/>
    <w:rsid w:val="4C9439F9"/>
    <w:rsid w:val="4CAC2C25"/>
    <w:rsid w:val="4CD21630"/>
    <w:rsid w:val="4CE55C2F"/>
    <w:rsid w:val="4CFD207A"/>
    <w:rsid w:val="4DB72B71"/>
    <w:rsid w:val="4DEE715F"/>
    <w:rsid w:val="4DEF7664"/>
    <w:rsid w:val="4E19336F"/>
    <w:rsid w:val="4E2052B7"/>
    <w:rsid w:val="4E221BB7"/>
    <w:rsid w:val="4E6C6A45"/>
    <w:rsid w:val="4E7945CC"/>
    <w:rsid w:val="4E7E71EB"/>
    <w:rsid w:val="4EE417ED"/>
    <w:rsid w:val="4F360812"/>
    <w:rsid w:val="4F3B332E"/>
    <w:rsid w:val="4F587A3C"/>
    <w:rsid w:val="4FA7451F"/>
    <w:rsid w:val="500A342C"/>
    <w:rsid w:val="509D0C89"/>
    <w:rsid w:val="50F33A6E"/>
    <w:rsid w:val="5155776B"/>
    <w:rsid w:val="51AD4D0A"/>
    <w:rsid w:val="51B5748E"/>
    <w:rsid w:val="51EC6467"/>
    <w:rsid w:val="522824AD"/>
    <w:rsid w:val="52437418"/>
    <w:rsid w:val="52B36E8D"/>
    <w:rsid w:val="52C03FC9"/>
    <w:rsid w:val="52E066A2"/>
    <w:rsid w:val="530A729F"/>
    <w:rsid w:val="530B0116"/>
    <w:rsid w:val="530F632B"/>
    <w:rsid w:val="532760A3"/>
    <w:rsid w:val="532C190B"/>
    <w:rsid w:val="53884282"/>
    <w:rsid w:val="539D280D"/>
    <w:rsid w:val="53B45BDE"/>
    <w:rsid w:val="53FF2A29"/>
    <w:rsid w:val="5429053C"/>
    <w:rsid w:val="54482775"/>
    <w:rsid w:val="54556FA0"/>
    <w:rsid w:val="546C6344"/>
    <w:rsid w:val="54E96D80"/>
    <w:rsid w:val="55250B98"/>
    <w:rsid w:val="55374AFD"/>
    <w:rsid w:val="555301CE"/>
    <w:rsid w:val="55850194"/>
    <w:rsid w:val="55D54B09"/>
    <w:rsid w:val="56371C22"/>
    <w:rsid w:val="5639439B"/>
    <w:rsid w:val="564B654C"/>
    <w:rsid w:val="56746522"/>
    <w:rsid w:val="56965119"/>
    <w:rsid w:val="56F546FF"/>
    <w:rsid w:val="5753390A"/>
    <w:rsid w:val="57713D91"/>
    <w:rsid w:val="57961A49"/>
    <w:rsid w:val="57D367F9"/>
    <w:rsid w:val="57DB3900"/>
    <w:rsid w:val="57E131DD"/>
    <w:rsid w:val="57F22048"/>
    <w:rsid w:val="583849DE"/>
    <w:rsid w:val="58940E34"/>
    <w:rsid w:val="58A43CF2"/>
    <w:rsid w:val="59021179"/>
    <w:rsid w:val="59291924"/>
    <w:rsid w:val="5963251C"/>
    <w:rsid w:val="59F1329E"/>
    <w:rsid w:val="5A057B46"/>
    <w:rsid w:val="5A0D2948"/>
    <w:rsid w:val="5A0D7EFE"/>
    <w:rsid w:val="5A19426B"/>
    <w:rsid w:val="5ABB5F98"/>
    <w:rsid w:val="5AD53D45"/>
    <w:rsid w:val="5AD563E4"/>
    <w:rsid w:val="5AF3365C"/>
    <w:rsid w:val="5B074E2B"/>
    <w:rsid w:val="5B4C11A1"/>
    <w:rsid w:val="5B527A35"/>
    <w:rsid w:val="5B7D2D1C"/>
    <w:rsid w:val="5C130339"/>
    <w:rsid w:val="5C3D6937"/>
    <w:rsid w:val="5C7817E5"/>
    <w:rsid w:val="5CB5471F"/>
    <w:rsid w:val="5CC62510"/>
    <w:rsid w:val="5DDA2782"/>
    <w:rsid w:val="5DF20170"/>
    <w:rsid w:val="5E1E2982"/>
    <w:rsid w:val="5E6019ED"/>
    <w:rsid w:val="5E93343E"/>
    <w:rsid w:val="5F317755"/>
    <w:rsid w:val="5F926A29"/>
    <w:rsid w:val="5FA8056B"/>
    <w:rsid w:val="5FF946E6"/>
    <w:rsid w:val="600339F4"/>
    <w:rsid w:val="602006BF"/>
    <w:rsid w:val="603D5158"/>
    <w:rsid w:val="606C1599"/>
    <w:rsid w:val="60875C72"/>
    <w:rsid w:val="60C43183"/>
    <w:rsid w:val="60D263B9"/>
    <w:rsid w:val="60F8107F"/>
    <w:rsid w:val="6146003C"/>
    <w:rsid w:val="61555778"/>
    <w:rsid w:val="62513D75"/>
    <w:rsid w:val="627860AA"/>
    <w:rsid w:val="627A6CB0"/>
    <w:rsid w:val="62A80882"/>
    <w:rsid w:val="63132977"/>
    <w:rsid w:val="63B1367A"/>
    <w:rsid w:val="63D00B3E"/>
    <w:rsid w:val="63F3076B"/>
    <w:rsid w:val="64077F3F"/>
    <w:rsid w:val="641B13C6"/>
    <w:rsid w:val="641F13B8"/>
    <w:rsid w:val="642377E2"/>
    <w:rsid w:val="646B5B7C"/>
    <w:rsid w:val="649522CA"/>
    <w:rsid w:val="64D94D23"/>
    <w:rsid w:val="64F90D4B"/>
    <w:rsid w:val="65003694"/>
    <w:rsid w:val="655A58A0"/>
    <w:rsid w:val="6567317D"/>
    <w:rsid w:val="659D0E9B"/>
    <w:rsid w:val="65D75707"/>
    <w:rsid w:val="65DE3B6B"/>
    <w:rsid w:val="65E01AD1"/>
    <w:rsid w:val="65E73470"/>
    <w:rsid w:val="663C7C5F"/>
    <w:rsid w:val="66914E24"/>
    <w:rsid w:val="66A90A17"/>
    <w:rsid w:val="6731630F"/>
    <w:rsid w:val="674566A0"/>
    <w:rsid w:val="67825B46"/>
    <w:rsid w:val="6796514D"/>
    <w:rsid w:val="67D6379C"/>
    <w:rsid w:val="67EE0AE5"/>
    <w:rsid w:val="68295169"/>
    <w:rsid w:val="683C1A5E"/>
    <w:rsid w:val="68EA27AA"/>
    <w:rsid w:val="693C4753"/>
    <w:rsid w:val="695C22B9"/>
    <w:rsid w:val="69A43153"/>
    <w:rsid w:val="69A9560C"/>
    <w:rsid w:val="69E9153A"/>
    <w:rsid w:val="69E974C0"/>
    <w:rsid w:val="69F43372"/>
    <w:rsid w:val="6A657BAB"/>
    <w:rsid w:val="6A812CE1"/>
    <w:rsid w:val="6AAD6A36"/>
    <w:rsid w:val="6ABB0202"/>
    <w:rsid w:val="6AD72615"/>
    <w:rsid w:val="6AE37DCC"/>
    <w:rsid w:val="6B1D005F"/>
    <w:rsid w:val="6B2F7D93"/>
    <w:rsid w:val="6B601BD5"/>
    <w:rsid w:val="6B6C68F1"/>
    <w:rsid w:val="6B6E41E6"/>
    <w:rsid w:val="6BD463A8"/>
    <w:rsid w:val="6BE40B7D"/>
    <w:rsid w:val="6BF55889"/>
    <w:rsid w:val="6C295B28"/>
    <w:rsid w:val="6C3B62C3"/>
    <w:rsid w:val="6C81461E"/>
    <w:rsid w:val="6CB73B9C"/>
    <w:rsid w:val="6CDA2D94"/>
    <w:rsid w:val="6CDB4F5F"/>
    <w:rsid w:val="6CE93F71"/>
    <w:rsid w:val="6CEF7F24"/>
    <w:rsid w:val="6D0A1917"/>
    <w:rsid w:val="6D0D4104"/>
    <w:rsid w:val="6D6261FE"/>
    <w:rsid w:val="6DD86E11"/>
    <w:rsid w:val="6DE33ED9"/>
    <w:rsid w:val="6DF606F4"/>
    <w:rsid w:val="6DFA6436"/>
    <w:rsid w:val="6E0E2D85"/>
    <w:rsid w:val="6E1D2124"/>
    <w:rsid w:val="6E31702B"/>
    <w:rsid w:val="6E380AD7"/>
    <w:rsid w:val="6E6B74F4"/>
    <w:rsid w:val="6E775CD9"/>
    <w:rsid w:val="6E7862F5"/>
    <w:rsid w:val="6E810905"/>
    <w:rsid w:val="6E8C0157"/>
    <w:rsid w:val="6F1E7738"/>
    <w:rsid w:val="6F481423"/>
    <w:rsid w:val="6F5C285E"/>
    <w:rsid w:val="6F8F5C84"/>
    <w:rsid w:val="6FA24545"/>
    <w:rsid w:val="6FBD7AD9"/>
    <w:rsid w:val="6FE2478A"/>
    <w:rsid w:val="701B08E6"/>
    <w:rsid w:val="70506D0C"/>
    <w:rsid w:val="70A74C89"/>
    <w:rsid w:val="70AC235E"/>
    <w:rsid w:val="70D0428E"/>
    <w:rsid w:val="71076F57"/>
    <w:rsid w:val="710B582B"/>
    <w:rsid w:val="71320F23"/>
    <w:rsid w:val="71353C29"/>
    <w:rsid w:val="71B63CB0"/>
    <w:rsid w:val="720F6228"/>
    <w:rsid w:val="728E7EE3"/>
    <w:rsid w:val="72A36844"/>
    <w:rsid w:val="72B52388"/>
    <w:rsid w:val="72BF1536"/>
    <w:rsid w:val="73134B97"/>
    <w:rsid w:val="732D6CD9"/>
    <w:rsid w:val="7368497B"/>
    <w:rsid w:val="738826D9"/>
    <w:rsid w:val="738844E4"/>
    <w:rsid w:val="73AC78C7"/>
    <w:rsid w:val="73D6436E"/>
    <w:rsid w:val="73E61E94"/>
    <w:rsid w:val="73ED2806"/>
    <w:rsid w:val="743C5116"/>
    <w:rsid w:val="74B14D5A"/>
    <w:rsid w:val="74DF2758"/>
    <w:rsid w:val="74FF07D6"/>
    <w:rsid w:val="75A538D4"/>
    <w:rsid w:val="76226A73"/>
    <w:rsid w:val="764010A6"/>
    <w:rsid w:val="76592168"/>
    <w:rsid w:val="76AB0072"/>
    <w:rsid w:val="770001C0"/>
    <w:rsid w:val="771C10D4"/>
    <w:rsid w:val="77234719"/>
    <w:rsid w:val="77534E09"/>
    <w:rsid w:val="775F730A"/>
    <w:rsid w:val="77614BCA"/>
    <w:rsid w:val="77A94A29"/>
    <w:rsid w:val="77AB6C5B"/>
    <w:rsid w:val="77DC3D43"/>
    <w:rsid w:val="77E96525"/>
    <w:rsid w:val="781520BE"/>
    <w:rsid w:val="78267E28"/>
    <w:rsid w:val="783C3AEF"/>
    <w:rsid w:val="78544995"/>
    <w:rsid w:val="786646C8"/>
    <w:rsid w:val="787E60A1"/>
    <w:rsid w:val="79130305"/>
    <w:rsid w:val="7AA03EC1"/>
    <w:rsid w:val="7AEB19DA"/>
    <w:rsid w:val="7C0F2203"/>
    <w:rsid w:val="7C5B6D12"/>
    <w:rsid w:val="7C6931EA"/>
    <w:rsid w:val="7C694412"/>
    <w:rsid w:val="7CA00A65"/>
    <w:rsid w:val="7D1C352D"/>
    <w:rsid w:val="7D1E5C80"/>
    <w:rsid w:val="7D2232B3"/>
    <w:rsid w:val="7D5D078F"/>
    <w:rsid w:val="7D6815B2"/>
    <w:rsid w:val="7DA168CE"/>
    <w:rsid w:val="7DD358E3"/>
    <w:rsid w:val="7DD6561D"/>
    <w:rsid w:val="7E757901"/>
    <w:rsid w:val="7ECD47E1"/>
    <w:rsid w:val="7EFB0260"/>
    <w:rsid w:val="7F032C71"/>
    <w:rsid w:val="7F1C5161"/>
    <w:rsid w:val="7F2D2B0A"/>
    <w:rsid w:val="7F4C0275"/>
    <w:rsid w:val="7F996430"/>
    <w:rsid w:val="7FCA378E"/>
    <w:rsid w:val="7FCF70FE"/>
    <w:rsid w:val="7FD2342D"/>
    <w:rsid w:val="7FF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iPriority="39"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Calibri" w:cs="Times New Roman"/>
      <w:kern w:val="2"/>
      <w:sz w:val="36"/>
      <w:szCs w:val="24"/>
      <w:lang w:val="en-US" w:eastAsia="zh-CN" w:bidi="ar-SA"/>
    </w:rPr>
  </w:style>
  <w:style w:type="paragraph" w:styleId="2">
    <w:name w:val="heading 1"/>
    <w:basedOn w:val="1"/>
    <w:next w:val="1"/>
    <w:autoRedefine/>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autoRedefine/>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26">
    <w:name w:val="Default Paragraph Font"/>
    <w:link w:val="27"/>
    <w:autoRedefine/>
    <w:semiHidden/>
    <w:qFormat/>
    <w:uiPriority w:val="0"/>
    <w:rPr>
      <w:rFonts w:ascii="Verdana" w:hAnsi="Verdana" w:eastAsia="楷体_GB2312"/>
      <w:b/>
      <w:i/>
      <w:iCs/>
      <w:color w:val="000000"/>
      <w:kern w:val="0"/>
      <w:sz w:val="20"/>
      <w:szCs w:val="20"/>
      <w:lang w:eastAsia="en-US"/>
    </w:rPr>
  </w:style>
  <w:style w:type="table" w:default="1" w:styleId="2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qFormat/>
    <w:uiPriority w:val="0"/>
    <w:pPr>
      <w:ind w:firstLine="420"/>
    </w:pPr>
    <w:rPr>
      <w:sz w:val="21"/>
      <w:szCs w:val="20"/>
    </w:rPr>
  </w:style>
  <w:style w:type="paragraph" w:styleId="6">
    <w:name w:val="Body Text 3"/>
    <w:basedOn w:val="1"/>
    <w:autoRedefine/>
    <w:qFormat/>
    <w:uiPriority w:val="0"/>
    <w:pPr>
      <w:spacing w:after="120"/>
    </w:pPr>
    <w:rPr>
      <w:sz w:val="16"/>
      <w:szCs w:val="16"/>
    </w:rPr>
  </w:style>
  <w:style w:type="paragraph" w:styleId="7">
    <w:name w:val="Body Text"/>
    <w:basedOn w:val="1"/>
    <w:next w:val="8"/>
    <w:autoRedefine/>
    <w:qFormat/>
    <w:uiPriority w:val="0"/>
    <w:pPr>
      <w:spacing w:after="120" w:afterLines="0"/>
    </w:pPr>
    <w:rPr>
      <w:rFonts w:ascii="Calibri" w:hAnsi="Calibri"/>
      <w:sz w:val="21"/>
      <w:szCs w:val="22"/>
    </w:rPr>
  </w:style>
  <w:style w:type="paragraph" w:styleId="8">
    <w:name w:val="toc 4"/>
    <w:basedOn w:val="1"/>
    <w:next w:val="1"/>
    <w:autoRedefine/>
    <w:qFormat/>
    <w:uiPriority w:val="0"/>
    <w:pPr>
      <w:ind w:left="630"/>
      <w:jc w:val="left"/>
    </w:pPr>
    <w:rPr>
      <w:sz w:val="18"/>
      <w:szCs w:val="18"/>
    </w:rPr>
  </w:style>
  <w:style w:type="paragraph" w:styleId="9">
    <w:name w:val="Body Text Indent"/>
    <w:basedOn w:val="1"/>
    <w:next w:val="1"/>
    <w:autoRedefine/>
    <w:qFormat/>
    <w:uiPriority w:val="0"/>
    <w:pPr>
      <w:adjustRightInd w:val="0"/>
      <w:spacing w:line="500" w:lineRule="atLeast"/>
      <w:ind w:firstLine="210"/>
      <w:textAlignment w:val="baseline"/>
    </w:pPr>
    <w:rPr>
      <w:rFonts w:ascii="仿宋_GB2312" w:eastAsia="仿宋_GB2312"/>
      <w:kern w:val="0"/>
      <w:sz w:val="24"/>
      <w:szCs w:val="20"/>
    </w:rPr>
  </w:style>
  <w:style w:type="paragraph" w:styleId="10">
    <w:name w:val="Plain Text"/>
    <w:basedOn w:val="1"/>
    <w:next w:val="11"/>
    <w:autoRedefine/>
    <w:qFormat/>
    <w:uiPriority w:val="0"/>
    <w:rPr>
      <w:rFonts w:ascii="宋体" w:hAnsi="Courier New"/>
      <w:sz w:val="21"/>
      <w:szCs w:val="20"/>
    </w:rPr>
  </w:style>
  <w:style w:type="paragraph" w:styleId="11">
    <w:name w:val="Date"/>
    <w:basedOn w:val="1"/>
    <w:next w:val="1"/>
    <w:autoRedefine/>
    <w:qFormat/>
    <w:uiPriority w:val="0"/>
    <w:pPr>
      <w:ind w:left="100" w:leftChars="2500"/>
    </w:pPr>
  </w:style>
  <w:style w:type="paragraph" w:styleId="12">
    <w:name w:val="toc 8"/>
    <w:basedOn w:val="1"/>
    <w:next w:val="1"/>
    <w:autoRedefine/>
    <w:unhideWhenUsed/>
    <w:qFormat/>
    <w:uiPriority w:val="39"/>
    <w:pPr>
      <w:ind w:left="2940" w:leftChars="1400"/>
    </w:pPr>
    <w:rPr>
      <w:rFonts w:ascii="Calibri" w:hAnsi="Calibri"/>
      <w:szCs w:val="22"/>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0"/>
    <w:pPr>
      <w:tabs>
        <w:tab w:val="right" w:leader="dot" w:pos="9628"/>
      </w:tabs>
      <w:jc w:val="center"/>
    </w:pPr>
    <w:rPr>
      <w:b/>
      <w:sz w:val="52"/>
      <w:szCs w:val="52"/>
    </w:rPr>
  </w:style>
  <w:style w:type="paragraph" w:styleId="16">
    <w:name w:val="footnote text"/>
    <w:basedOn w:val="1"/>
    <w:autoRedefine/>
    <w:unhideWhenUsed/>
    <w:qFormat/>
    <w:uiPriority w:val="0"/>
    <w:pPr>
      <w:snapToGrid w:val="0"/>
      <w:spacing w:beforeLines="0" w:afterLines="0"/>
      <w:jc w:val="left"/>
    </w:pPr>
    <w:rPr>
      <w:rFonts w:hint="default" w:ascii="Times New Roman" w:hAnsi="Times New Roman" w:eastAsia="仿宋_GB2312"/>
      <w:sz w:val="18"/>
      <w:szCs w:val="24"/>
    </w:rPr>
  </w:style>
  <w:style w:type="paragraph" w:styleId="17">
    <w:name w:val="toc 6"/>
    <w:basedOn w:val="1"/>
    <w:next w:val="1"/>
    <w:autoRedefine/>
    <w:qFormat/>
    <w:uiPriority w:val="0"/>
    <w:pPr>
      <w:ind w:left="1000" w:leftChars="1000"/>
    </w:pPr>
  </w:style>
  <w:style w:type="paragraph" w:styleId="18">
    <w:name w:val="Body Text Indent 3"/>
    <w:basedOn w:val="1"/>
    <w:autoRedefine/>
    <w:qFormat/>
    <w:uiPriority w:val="0"/>
    <w:pPr>
      <w:spacing w:after="120" w:afterLines="0"/>
      <w:ind w:left="420" w:leftChars="200"/>
    </w:pPr>
    <w:rPr>
      <w:sz w:val="16"/>
      <w:szCs w:val="16"/>
    </w:rPr>
  </w:style>
  <w:style w:type="paragraph" w:styleId="19">
    <w:name w:val="toc 2"/>
    <w:basedOn w:val="1"/>
    <w:next w:val="1"/>
    <w:autoRedefine/>
    <w:qFormat/>
    <w:uiPriority w:val="0"/>
    <w:pPr>
      <w:ind w:left="420" w:leftChars="200"/>
    </w:pPr>
  </w:style>
  <w:style w:type="paragraph" w:styleId="20">
    <w:name w:val="Normal (Web)"/>
    <w:basedOn w:val="1"/>
    <w:autoRedefine/>
    <w:qFormat/>
    <w:uiPriority w:val="0"/>
    <w:pPr>
      <w:widowControl/>
      <w:spacing w:before="100" w:beforeLines="0" w:beforeAutospacing="1" w:after="100" w:afterLines="0" w:afterAutospacing="1"/>
      <w:jc w:val="left"/>
    </w:pPr>
    <w:rPr>
      <w:rFonts w:hint="eastAsia" w:ascii="宋体" w:hAnsi="宋体"/>
      <w:kern w:val="0"/>
      <w:sz w:val="24"/>
    </w:rPr>
  </w:style>
  <w:style w:type="paragraph" w:styleId="21">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2">
    <w:name w:val="Body Text First Indent"/>
    <w:basedOn w:val="7"/>
    <w:next w:val="17"/>
    <w:autoRedefine/>
    <w:qFormat/>
    <w:uiPriority w:val="0"/>
    <w:pPr>
      <w:ind w:firstLine="420" w:firstLineChars="100"/>
    </w:pPr>
  </w:style>
  <w:style w:type="paragraph" w:styleId="23">
    <w:name w:val="Body Text First Indent 2"/>
    <w:basedOn w:val="9"/>
    <w:next w:val="22"/>
    <w:autoRedefine/>
    <w:qFormat/>
    <w:uiPriority w:val="0"/>
    <w:pPr>
      <w:autoSpaceDE w:val="0"/>
      <w:autoSpaceDN w:val="0"/>
      <w:adjustRightInd w:val="0"/>
      <w:spacing w:after="120"/>
      <w:ind w:left="420" w:leftChars="200" w:firstLine="420" w:firstLineChars="200"/>
      <w:jc w:val="left"/>
      <w:textAlignment w:val="baseline"/>
    </w:pPr>
    <w:rPr>
      <w:rFonts w:ascii="宋体"/>
      <w:kern w:val="0"/>
      <w:sz w:val="34"/>
    </w:rPr>
  </w:style>
  <w:style w:type="table" w:styleId="25">
    <w:name w:val="Table Grid"/>
    <w:basedOn w:val="24"/>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Char"/>
    <w:basedOn w:val="1"/>
    <w:link w:val="26"/>
    <w:autoRedefine/>
    <w:qFormat/>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character" w:styleId="28">
    <w:name w:val="Strong"/>
    <w:basedOn w:val="26"/>
    <w:autoRedefine/>
    <w:qFormat/>
    <w:uiPriority w:val="0"/>
  </w:style>
  <w:style w:type="character" w:styleId="29">
    <w:name w:val="page number"/>
    <w:basedOn w:val="26"/>
    <w:autoRedefine/>
    <w:qFormat/>
    <w:uiPriority w:val="0"/>
  </w:style>
  <w:style w:type="character" w:styleId="30">
    <w:name w:val="Hyperlink"/>
    <w:basedOn w:val="26"/>
    <w:autoRedefine/>
    <w:qFormat/>
    <w:uiPriority w:val="0"/>
    <w:rPr>
      <w:color w:val="0000FF"/>
      <w:u w:val="single"/>
    </w:rPr>
  </w:style>
  <w:style w:type="character" w:styleId="31">
    <w:name w:val="footnote reference"/>
    <w:autoRedefine/>
    <w:unhideWhenUsed/>
    <w:qFormat/>
    <w:uiPriority w:val="0"/>
    <w:rPr>
      <w:rFonts w:hint="default"/>
      <w:sz w:val="24"/>
      <w:szCs w:val="24"/>
      <w:vertAlign w:val="superscript"/>
    </w:rPr>
  </w:style>
  <w:style w:type="paragraph" w:customStyle="1" w:styleId="32">
    <w:name w:val="Default"/>
    <w:autoRedefine/>
    <w:unhideWhenUsed/>
    <w:qFormat/>
    <w:uiPriority w:val="0"/>
    <w:pPr>
      <w:widowControl w:val="0"/>
      <w:autoSpaceDE w:val="0"/>
      <w:autoSpaceDN w:val="0"/>
      <w:adjustRightInd w:val="0"/>
      <w:spacing w:beforeLines="0" w:afterLines="0"/>
    </w:pPr>
    <w:rPr>
      <w:rFonts w:hint="default" w:ascii="宋体" w:hAnsi="Times New Roman" w:eastAsia="宋体" w:cs="宋体"/>
      <w:color w:val="000000"/>
      <w:sz w:val="24"/>
      <w:szCs w:val="24"/>
      <w:lang w:val="en-US" w:eastAsia="zh-CN" w:bidi="ar-SA"/>
    </w:rPr>
  </w:style>
  <w:style w:type="paragraph" w:customStyle="1" w:styleId="33">
    <w:name w:val="目录 71"/>
    <w:next w:val="1"/>
    <w:autoRedefine/>
    <w:unhideWhenUsed/>
    <w:qFormat/>
    <w:uiPriority w:val="0"/>
    <w:pPr>
      <w:wordWrap w:val="0"/>
      <w:spacing w:beforeLines="0" w:afterLines="0"/>
      <w:ind w:left="2550"/>
      <w:jc w:val="both"/>
    </w:pPr>
    <w:rPr>
      <w:rFonts w:hint="default" w:ascii="Calibri" w:hAnsi="Calibri" w:eastAsia="宋体" w:cs="Times New Roman"/>
      <w:sz w:val="21"/>
      <w:szCs w:val="24"/>
      <w:lang w:val="en-US" w:eastAsia="zh-CN" w:bidi="ar-SA"/>
    </w:rPr>
  </w:style>
  <w:style w:type="paragraph" w:customStyle="1" w:styleId="34">
    <w:name w:val="[Normal]"/>
    <w:autoRedefine/>
    <w:qFormat/>
    <w:uiPriority w:val="0"/>
    <w:rPr>
      <w:rFonts w:ascii="宋体" w:hAnsi="宋体" w:eastAsia="宋体" w:cs="Times New Roman"/>
      <w:sz w:val="24"/>
      <w:szCs w:val="22"/>
      <w:lang w:val="en-US" w:eastAsia="en-US" w:bidi="ar-SA"/>
    </w:rPr>
  </w:style>
  <w:style w:type="paragraph" w:customStyle="1" w:styleId="35">
    <w:name w:val="首行缩进"/>
    <w:basedOn w:val="1"/>
    <w:autoRedefine/>
    <w:qFormat/>
    <w:uiPriority w:val="0"/>
    <w:rPr>
      <w:lang w:val="zh-CN"/>
    </w:rPr>
  </w:style>
  <w:style w:type="paragraph" w:customStyle="1" w:styleId="36">
    <w:name w:val="TOC Heading"/>
    <w:next w:val="1"/>
    <w:autoRedefine/>
    <w:qFormat/>
    <w:uiPriority w:val="0"/>
    <w:pPr>
      <w:wordWrap w:val="0"/>
    </w:pPr>
    <w:rPr>
      <w:rFonts w:ascii="Calibri" w:hAnsi="Calibri" w:eastAsia="宋体" w:cs="Times New Roman"/>
      <w:sz w:val="32"/>
      <w:lang w:val="en-US" w:eastAsia="zh-CN" w:bidi="ar-SA"/>
    </w:rPr>
  </w:style>
  <w:style w:type="paragraph" w:customStyle="1" w:styleId="37">
    <w:name w:val="表格文字"/>
    <w:basedOn w:val="1"/>
    <w:next w:val="7"/>
    <w:autoRedefine/>
    <w:qFormat/>
    <w:uiPriority w:val="0"/>
    <w:pPr>
      <w:spacing w:before="25" w:after="25"/>
      <w:jc w:val="left"/>
    </w:pPr>
    <w:rPr>
      <w:bCs/>
      <w:spacing w:val="10"/>
      <w:kern w:val="0"/>
      <w:sz w:val="24"/>
      <w:szCs w:val="20"/>
    </w:rPr>
  </w:style>
  <w:style w:type="paragraph" w:customStyle="1" w:styleId="38">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39">
    <w:name w:val="正文1"/>
    <w:basedOn w:val="1"/>
    <w:autoRedefine/>
    <w:qFormat/>
    <w:uiPriority w:val="0"/>
    <w:pPr>
      <w:spacing w:line="360" w:lineRule="auto"/>
      <w:ind w:firstLine="200" w:firstLineChars="200"/>
      <w:jc w:val="left"/>
    </w:pPr>
    <w:rPr>
      <w:rFonts w:ascii="宋体" w:hAnsi="宋体"/>
      <w:color w:val="000000"/>
      <w:kern w:val="0"/>
      <w:sz w:val="24"/>
      <w:szCs w:val="20"/>
    </w:rPr>
  </w:style>
  <w:style w:type="paragraph" w:customStyle="1" w:styleId="40">
    <w:name w:val="列出段落"/>
    <w:basedOn w:val="1"/>
    <w:autoRedefine/>
    <w:qFormat/>
    <w:uiPriority w:val="0"/>
    <w:pPr>
      <w:ind w:firstLine="420" w:firstLineChars="200"/>
    </w:pPr>
    <w:rPr>
      <w:rFonts w:ascii="Calibri" w:hAnsi="Calibri"/>
      <w:sz w:val="21"/>
      <w:szCs w:val="22"/>
    </w:rPr>
  </w:style>
  <w:style w:type="paragraph" w:customStyle="1" w:styleId="41">
    <w:name w:val="表格内容"/>
    <w:basedOn w:val="1"/>
    <w:autoRedefine/>
    <w:qFormat/>
    <w:uiPriority w:val="2"/>
    <w:pPr>
      <w:widowControl/>
      <w:jc w:val="center"/>
    </w:pPr>
    <w:rPr>
      <w:kern w:val="0"/>
      <w:sz w:val="24"/>
      <w:szCs w:val="28"/>
    </w:rPr>
  </w:style>
  <w:style w:type="paragraph" w:customStyle="1" w:styleId="42">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autoRedefine/>
    <w:qFormat/>
    <w:uiPriority w:val="0"/>
    <w:pPr>
      <w:widowControl w:val="0"/>
      <w:jc w:val="both"/>
    </w:pPr>
    <w:rPr>
      <w:rFonts w:ascii="Calibri" w:hAnsi="Calibri" w:eastAsia="Calibri" w:cs="Times New Roman"/>
      <w:kern w:val="2"/>
      <w:sz w:val="21"/>
      <w:szCs w:val="24"/>
      <w:lang w:val="en-US" w:eastAsia="zh-CN" w:bidi="ar-SA"/>
    </w:rPr>
  </w:style>
  <w:style w:type="paragraph" w:customStyle="1" w:styleId="44">
    <w:name w:val="Plain Text1"/>
    <w:basedOn w:val="45"/>
    <w:autoRedefine/>
    <w:qFormat/>
    <w:uiPriority w:val="99"/>
    <w:pPr>
      <w:widowControl/>
      <w:jc w:val="left"/>
    </w:pPr>
    <w:rPr>
      <w:rFonts w:ascii="宋体" w:hAnsi="Courier New"/>
    </w:rPr>
  </w:style>
  <w:style w:type="paragraph" w:customStyle="1" w:styleId="45">
    <w:name w:val="Norm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6">
    <w:name w:val="reader-word-layer reader-word-s3-4"/>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47">
    <w:name w:val="font51"/>
    <w:basedOn w:val="26"/>
    <w:autoRedefine/>
    <w:qFormat/>
    <w:uiPriority w:val="0"/>
    <w:rPr>
      <w:rFonts w:hint="eastAsia" w:ascii="宋体" w:hAnsi="宋体" w:eastAsia="宋体" w:cs="宋体"/>
      <w:color w:val="000000"/>
      <w:sz w:val="18"/>
      <w:szCs w:val="18"/>
      <w:u w:val="none"/>
    </w:rPr>
  </w:style>
  <w:style w:type="paragraph" w:customStyle="1" w:styleId="48">
    <w:name w:val="内文正文"/>
    <w:basedOn w:val="10"/>
    <w:autoRedefine/>
    <w:qFormat/>
    <w:uiPriority w:val="99"/>
    <w:pPr>
      <w:adjustRightInd w:val="0"/>
      <w:snapToGrid w:val="0"/>
      <w:spacing w:line="400" w:lineRule="exact"/>
      <w:ind w:firstLine="200" w:firstLineChars="200"/>
    </w:pPr>
    <w:rPr>
      <w:rFonts w:ascii="Arial" w:hAnsi="Arial"/>
      <w:color w:val="000000"/>
      <w:szCs w:val="21"/>
    </w:rPr>
  </w:style>
  <w:style w:type="paragraph" w:customStyle="1" w:styleId="49">
    <w:name w:val="Normal Indent1"/>
    <w:basedOn w:val="1"/>
    <w:autoRedefine/>
    <w:qFormat/>
    <w:uiPriority w:val="0"/>
    <w:pPr>
      <w:ind w:firstLine="420" w:firstLineChars="200"/>
    </w:pPr>
  </w:style>
  <w:style w:type="paragraph" w:customStyle="1" w:styleId="50">
    <w:name w:val="批注框文本1"/>
    <w:basedOn w:val="1"/>
    <w:autoRedefine/>
    <w:qFormat/>
    <w:uiPriority w:val="99"/>
    <w:rPr>
      <w:rFonts w:ascii="Calibri" w:hAnsi="Calibri"/>
      <w:sz w:val="18"/>
      <w:szCs w:val="18"/>
    </w:rPr>
  </w:style>
  <w:style w:type="paragraph" w:styleId="51">
    <w:name w:val="List Paragraph"/>
    <w:basedOn w:val="1"/>
    <w:autoRedefine/>
    <w:qFormat/>
    <w:uiPriority w:val="34"/>
    <w:pPr>
      <w:ind w:firstLine="420" w:firstLineChars="200"/>
    </w:pPr>
    <w:rPr>
      <w:szCs w:val="22"/>
    </w:rPr>
  </w:style>
  <w:style w:type="paragraph" w:customStyle="1" w:styleId="52">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3">
    <w:name w:val="样式 标题 3 + (中文) 黑体 小四 非加粗 段前: 7.8 磅 段后: 0 磅 行距: 固定值 20 磅"/>
    <w:basedOn w:val="4"/>
    <w:autoRedefine/>
    <w:qFormat/>
    <w:uiPriority w:val="0"/>
    <w:pPr>
      <w:spacing w:before="0" w:after="0" w:line="400" w:lineRule="exact"/>
    </w:pPr>
    <w:rPr>
      <w:rFonts w:eastAsia="黑体" w:cs="宋体"/>
      <w:b w:val="0"/>
      <w:sz w:val="24"/>
      <w:szCs w:val="20"/>
    </w:rPr>
  </w:style>
  <w:style w:type="paragraph" w:customStyle="1" w:styleId="54">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55">
    <w:name w:val="样式 标题 3 + Arial"/>
    <w:basedOn w:val="4"/>
    <w:autoRedefine/>
    <w:qFormat/>
    <w:uiPriority w:val="0"/>
    <w:pPr>
      <w:spacing w:beforeLines="100" w:after="0" w:line="360" w:lineRule="auto"/>
    </w:pPr>
    <w:rPr>
      <w:rFonts w:ascii="Arial" w:hAnsi="Arial"/>
      <w:sz w:val="24"/>
    </w:rPr>
  </w:style>
  <w:style w:type="paragraph" w:customStyle="1" w:styleId="56">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57">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目录 92"/>
    <w:next w:val="1"/>
    <w:autoRedefine/>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60">
    <w:name w:val="15"/>
    <w:basedOn w:val="26"/>
    <w:autoRedefine/>
    <w:qFormat/>
    <w:uiPriority w:val="0"/>
    <w:rPr>
      <w:rFonts w:hint="eastAsia" w:ascii="等线" w:hAnsi="等线" w:eastAsia="等线" w:cs="等线"/>
    </w:rPr>
  </w:style>
  <w:style w:type="paragraph" w:customStyle="1" w:styleId="6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64">
    <w:name w:val="font11"/>
    <w:basedOn w:val="26"/>
    <w:autoRedefine/>
    <w:qFormat/>
    <w:uiPriority w:val="0"/>
    <w:rPr>
      <w:rFonts w:hint="eastAsia" w:ascii="宋体" w:hAnsi="宋体" w:eastAsia="宋体"/>
      <w:color w:val="000000"/>
      <w:sz w:val="18"/>
      <w:szCs w:val="18"/>
      <w:u w:val="none"/>
    </w:rPr>
  </w:style>
  <w:style w:type="paragraph" w:customStyle="1" w:styleId="65">
    <w:name w:val="样式1"/>
    <w:basedOn w:val="1"/>
    <w:autoRedefine/>
    <w:uiPriority w:val="0"/>
    <w:pPr>
      <w:spacing w:line="360" w:lineRule="exact"/>
      <w:ind w:firstLine="200" w:firstLineChars="200"/>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42744</Words>
  <Characters>44864</Characters>
  <Lines>1</Lines>
  <Paragraphs>1</Paragraphs>
  <TotalTime>1</TotalTime>
  <ScaleCrop>false</ScaleCrop>
  <LinksUpToDate>false</LinksUpToDate>
  <CharactersWithSpaces>49265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2020-08-10T07:26:00Z</dcterms:created>
  <dc:creator>Administrator</dc:creator>
  <cp:lastModifiedBy>芒果不芒</cp:lastModifiedBy>
  <cp:lastPrinted>2024-04-03T06:14:00Z</cp:lastPrinted>
  <dcterms:modified xsi:type="dcterms:W3CDTF">2024-04-07T08:05:13Z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4E163B3655514343BAA9F76A788AF22B</vt:lpwstr>
  </property>
</Properties>
</file>